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720"/>
        <w:jc w:val="center"/>
        <w:rPr>
          <w:rFonts w:hint="eastAsia" w:ascii="仿宋_GB2312" w:hAnsi="仿宋" w:eastAsia="仿宋_GB2312" w:cs="Times New Roman"/>
          <w:color w:val="000000"/>
          <w:kern w:val="0"/>
          <w:sz w:val="32"/>
          <w:szCs w:val="32"/>
        </w:rPr>
      </w:pPr>
    </w:p>
    <w:p>
      <w:pPr>
        <w:spacing w:line="540" w:lineRule="exact"/>
        <w:rPr>
          <w:rFonts w:ascii="楷体" w:hAnsi="楷体" w:eastAsia="楷体"/>
          <w:sz w:val="32"/>
          <w:szCs w:val="32"/>
        </w:rPr>
      </w:pPr>
      <w:r>
        <w:rPr>
          <w:rFonts w:hint="eastAsia" w:ascii="楷体" w:hAnsi="楷体" w:eastAsia="楷体"/>
          <w:sz w:val="32"/>
          <w:szCs w:val="32"/>
        </w:rPr>
        <w:t>附件2</w:t>
      </w:r>
    </w:p>
    <w:p>
      <w:pPr>
        <w:pStyle w:val="2"/>
        <w:spacing w:line="580" w:lineRule="exact"/>
        <w:rPr>
          <w:rFonts w:ascii="方正小标宋简体" w:hAnsi="华文中宋" w:eastAsia="方正小标宋简体"/>
          <w:b w:val="0"/>
        </w:rPr>
      </w:pPr>
      <w:bookmarkStart w:id="0" w:name="_Hlk109824814"/>
      <w:r>
        <w:rPr>
          <w:rFonts w:hint="eastAsia" w:ascii="方正小标宋简体" w:hAnsi="华文中宋" w:eastAsia="方正小标宋简体"/>
          <w:b w:val="0"/>
        </w:rPr>
        <w:t>北京新视听艺术园申请报告</w:t>
      </w:r>
    </w:p>
    <w:bookmarkEnd w:id="0"/>
    <w:p>
      <w:pPr>
        <w:spacing w:line="58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（参考提纲，包括但不限于以下内容）</w:t>
      </w:r>
    </w:p>
    <w:p>
      <w:pPr>
        <w:spacing w:line="540" w:lineRule="exact"/>
        <w:ind w:firstLine="420"/>
        <w:rPr>
          <w:sz w:val="28"/>
          <w:szCs w:val="28"/>
        </w:rPr>
      </w:pPr>
    </w:p>
    <w:p>
      <w:pPr>
        <w:spacing w:line="540" w:lineRule="exact"/>
        <w:ind w:firstLine="560"/>
        <w:rPr>
          <w:rFonts w:ascii="仿宋_GB2312" w:hAnsi="黑体" w:eastAsia="仿宋_GB2312" w:cs="黑体"/>
          <w:b/>
          <w:sz w:val="32"/>
          <w:szCs w:val="32"/>
        </w:rPr>
      </w:pPr>
      <w:r>
        <w:rPr>
          <w:rFonts w:hint="eastAsia" w:ascii="仿宋_GB2312" w:hAnsi="仿宋" w:eastAsia="仿宋_GB2312" w:cs="Times New Roman"/>
          <w:b/>
          <w:color w:val="000000"/>
          <w:kern w:val="0"/>
          <w:sz w:val="32"/>
          <w:szCs w:val="32"/>
        </w:rPr>
        <w:t>一、园区基本情况</w:t>
      </w:r>
    </w:p>
    <w:p>
      <w:pPr>
        <w:spacing w:line="540" w:lineRule="exact"/>
        <w:ind w:firstLine="560"/>
        <w:rPr>
          <w:rFonts w:ascii="仿宋_GB2312" w:hAnsi="仿宋" w:eastAsia="仿宋_GB2312" w:cs="仿宋_GB2312"/>
          <w:sz w:val="32"/>
          <w:szCs w:val="32"/>
        </w:rPr>
      </w:pPr>
      <w:r>
        <w:rPr>
          <w:rFonts w:hint="eastAsia" w:ascii="仿宋_GB2312" w:hAnsi="仿宋" w:eastAsia="仿宋_GB2312" w:cs="仿宋_GB2312"/>
          <w:sz w:val="32"/>
          <w:szCs w:val="32"/>
        </w:rPr>
        <w:t>包括：基本情况介绍。</w:t>
      </w:r>
    </w:p>
    <w:p>
      <w:pPr>
        <w:spacing w:line="540" w:lineRule="exact"/>
        <w:ind w:firstLine="560"/>
        <w:rPr>
          <w:rFonts w:ascii="仿宋_GB2312" w:hAnsi="仿宋" w:eastAsia="仿宋_GB2312" w:cs="Times New Roman"/>
          <w:b/>
          <w:color w:val="000000"/>
          <w:kern w:val="0"/>
          <w:sz w:val="32"/>
          <w:szCs w:val="32"/>
        </w:rPr>
      </w:pPr>
      <w:r>
        <w:rPr>
          <w:rFonts w:hint="eastAsia" w:ascii="仿宋_GB2312" w:hAnsi="仿宋" w:eastAsia="仿宋_GB2312" w:cs="Times New Roman"/>
          <w:b/>
          <w:color w:val="000000"/>
          <w:kern w:val="0"/>
          <w:sz w:val="32"/>
          <w:szCs w:val="32"/>
        </w:rPr>
        <w:t>二、园区现运营管理机构介绍</w:t>
      </w:r>
    </w:p>
    <w:p>
      <w:pPr>
        <w:spacing w:line="540" w:lineRule="exact"/>
        <w:ind w:firstLine="560"/>
        <w:rPr>
          <w:rFonts w:ascii="仿宋_GB2312" w:hAnsi="仿宋" w:eastAsia="仿宋_GB2312" w:cs="仿宋_GB2312"/>
          <w:sz w:val="32"/>
          <w:szCs w:val="32"/>
        </w:rPr>
      </w:pPr>
      <w:r>
        <w:rPr>
          <w:rFonts w:hint="eastAsia" w:ascii="仿宋_GB2312" w:hAnsi="仿宋" w:eastAsia="仿宋_GB2312" w:cs="仿宋_GB2312"/>
          <w:sz w:val="32"/>
          <w:szCs w:val="32"/>
        </w:rPr>
        <w:t>包括：运营管理机构、组织架构、管理制度、运营机制等。</w:t>
      </w:r>
    </w:p>
    <w:p>
      <w:pPr>
        <w:spacing w:line="540" w:lineRule="exact"/>
        <w:ind w:firstLine="560"/>
        <w:rPr>
          <w:rFonts w:ascii="仿宋_GB2312" w:hAnsi="仿宋" w:eastAsia="仿宋_GB2312" w:cs="Times New Roman"/>
          <w:b/>
          <w:color w:val="000000"/>
          <w:kern w:val="0"/>
          <w:sz w:val="32"/>
          <w:szCs w:val="32"/>
        </w:rPr>
      </w:pPr>
      <w:r>
        <w:rPr>
          <w:rFonts w:hint="eastAsia" w:ascii="仿宋_GB2312" w:hAnsi="仿宋" w:eastAsia="仿宋_GB2312" w:cs="Times New Roman"/>
          <w:b/>
          <w:color w:val="000000"/>
          <w:kern w:val="0"/>
          <w:sz w:val="32"/>
          <w:szCs w:val="32"/>
        </w:rPr>
        <w:t>三、园区设立以来总体发展成绩总结</w:t>
      </w:r>
    </w:p>
    <w:p>
      <w:pPr>
        <w:spacing w:line="540" w:lineRule="exact"/>
        <w:ind w:firstLine="560"/>
        <w:rPr>
          <w:rFonts w:ascii="仿宋_GB2312" w:hAnsi="仿宋" w:eastAsia="仿宋_GB2312" w:cs="仿宋_GB2312"/>
          <w:sz w:val="32"/>
          <w:szCs w:val="32"/>
        </w:rPr>
      </w:pPr>
      <w:r>
        <w:rPr>
          <w:rFonts w:hint="eastAsia" w:ascii="仿宋_GB2312" w:hAnsi="仿宋" w:eastAsia="仿宋_GB2312" w:cs="仿宋_GB2312"/>
          <w:sz w:val="32"/>
          <w:szCs w:val="32"/>
        </w:rPr>
        <w:t>包括：园区社会效益、经济效益、科技创新、新闻媒体宣传报道园区情况。</w:t>
      </w:r>
    </w:p>
    <w:p>
      <w:pPr>
        <w:spacing w:line="540" w:lineRule="exact"/>
        <w:ind w:firstLine="560"/>
        <w:rPr>
          <w:rFonts w:ascii="仿宋_GB2312" w:hAnsi="仿宋" w:eastAsia="仿宋_GB2312" w:cs="仿宋_GB2312"/>
          <w:sz w:val="32"/>
          <w:szCs w:val="32"/>
        </w:rPr>
      </w:pPr>
      <w:r>
        <w:rPr>
          <w:rFonts w:ascii="仿宋_GB2312" w:hAnsi="仿宋" w:eastAsia="仿宋_GB2312" w:cs="仿宋_GB2312"/>
          <w:sz w:val="32"/>
          <w:szCs w:val="32"/>
        </w:rPr>
        <w:t>社会效益情况包括党建工作，为入驻企业提供文化产业公共服务，公共文化空间建设及面向公众提供公益文化讲座、文化展览、文化活动等公益文化服务</w:t>
      </w:r>
      <w:r>
        <w:rPr>
          <w:rFonts w:hint="eastAsia" w:ascii="仿宋_GB2312" w:hAnsi="仿宋" w:eastAsia="仿宋_GB2312" w:cs="仿宋_GB2312"/>
          <w:sz w:val="32"/>
          <w:szCs w:val="32"/>
        </w:rPr>
        <w:t>等</w:t>
      </w:r>
      <w:r>
        <w:rPr>
          <w:rFonts w:ascii="仿宋_GB2312" w:hAnsi="仿宋" w:eastAsia="仿宋_GB2312" w:cs="仿宋_GB2312"/>
          <w:sz w:val="32"/>
          <w:szCs w:val="32"/>
        </w:rPr>
        <w:t>情况，入驻文化企业所生产的文化产品和服务对传播和弘扬社会主义核心价值观起到的作用情况，园区及周边环境的提升情况，在重大突发公共事件期间为入驻文化企业提供减免房租等公共服务的情况等</w:t>
      </w:r>
      <w:r>
        <w:rPr>
          <w:rFonts w:hint="eastAsia" w:ascii="仿宋_GB2312" w:hAnsi="仿宋" w:eastAsia="仿宋_GB2312" w:cs="仿宋_GB2312"/>
          <w:sz w:val="32"/>
          <w:szCs w:val="32"/>
        </w:rPr>
        <w:t>。</w:t>
      </w:r>
    </w:p>
    <w:p>
      <w:pPr>
        <w:spacing w:line="540" w:lineRule="exact"/>
        <w:ind w:firstLine="560"/>
        <w:rPr>
          <w:rFonts w:ascii="仿宋_GB2312" w:hAnsi="仿宋" w:eastAsia="仿宋_GB2312" w:cs="仿宋_GB2312"/>
          <w:sz w:val="32"/>
          <w:szCs w:val="32"/>
        </w:rPr>
      </w:pPr>
      <w:r>
        <w:rPr>
          <w:rFonts w:ascii="仿宋_GB2312" w:hAnsi="仿宋" w:eastAsia="仿宋_GB2312" w:cs="仿宋_GB2312"/>
          <w:sz w:val="32"/>
          <w:szCs w:val="32"/>
        </w:rPr>
        <w:t>经济效益情况包括园区建设运营管理机构经营情况、园区总收入、纳税总额、地均收入、地均纳税额及园区内相关文化单位数量、规模以上文化单位数量、相关文化单位占入驻单位比重、规模以上文化单位收入及增速、文化单位纳税额及增速、高端文化人才情况、文化产品生产情况、骨干文化企业和重点项目情况、小微文化企业孵化情况、产业创新和融合发展情况、产业链构建情况、对区域经济发展的带动作用等</w:t>
      </w:r>
      <w:r>
        <w:rPr>
          <w:rFonts w:hint="eastAsia" w:ascii="仿宋_GB2312" w:hAnsi="仿宋" w:eastAsia="仿宋_GB2312" w:cs="仿宋_GB2312"/>
          <w:sz w:val="32"/>
          <w:szCs w:val="32"/>
        </w:rPr>
        <w:t>。</w:t>
      </w:r>
    </w:p>
    <w:p>
      <w:pPr>
        <w:spacing w:line="540" w:lineRule="exact"/>
        <w:ind w:firstLine="560"/>
        <w:rPr>
          <w:rFonts w:ascii="仿宋_GB2312" w:hAnsi="仿宋" w:eastAsia="仿宋_GB2312" w:cs="仿宋_GB2312"/>
          <w:sz w:val="32"/>
          <w:szCs w:val="32"/>
        </w:rPr>
      </w:pPr>
      <w:r>
        <w:rPr>
          <w:rFonts w:hint="eastAsia" w:ascii="仿宋_GB2312" w:hAnsi="仿宋" w:eastAsia="仿宋_GB2312" w:cs="仿宋_GB2312"/>
          <w:sz w:val="32"/>
          <w:szCs w:val="32"/>
        </w:rPr>
        <w:t>科技创新情况包括获得的专利情况、高新技术企业数量、承担的国家级和市级重大科技攻关项目、国家和市级实验室建设情况、突破“卡脖子”技术情况等。</w:t>
      </w:r>
    </w:p>
    <w:p>
      <w:pPr>
        <w:spacing w:line="540" w:lineRule="exact"/>
        <w:ind w:firstLine="560"/>
        <w:rPr>
          <w:rFonts w:ascii="仿宋_GB2312" w:hAnsi="仿宋" w:eastAsia="仿宋_GB2312" w:cs="Times New Roman"/>
          <w:b/>
          <w:color w:val="000000"/>
          <w:kern w:val="0"/>
          <w:sz w:val="32"/>
          <w:szCs w:val="32"/>
        </w:rPr>
      </w:pPr>
      <w:r>
        <w:rPr>
          <w:rFonts w:hint="eastAsia" w:ascii="仿宋_GB2312" w:hAnsi="仿宋" w:eastAsia="仿宋_GB2312" w:cs="Times New Roman"/>
          <w:b/>
          <w:color w:val="000000"/>
          <w:kern w:val="0"/>
          <w:sz w:val="32"/>
          <w:szCs w:val="32"/>
        </w:rPr>
        <w:t>四、场地及综合配套设施</w:t>
      </w:r>
    </w:p>
    <w:p>
      <w:pPr>
        <w:spacing w:line="540" w:lineRule="exact"/>
        <w:ind w:firstLine="560"/>
        <w:rPr>
          <w:rFonts w:ascii="仿宋_GB2312" w:hAnsi="仿宋" w:eastAsia="仿宋_GB2312" w:cs="黑体"/>
          <w:sz w:val="32"/>
          <w:szCs w:val="32"/>
        </w:rPr>
      </w:pPr>
      <w:r>
        <w:rPr>
          <w:rFonts w:hint="eastAsia" w:ascii="仿宋_GB2312" w:hAnsi="仿宋" w:eastAsia="仿宋_GB2312" w:cs="黑体"/>
          <w:sz w:val="32"/>
          <w:szCs w:val="32"/>
        </w:rPr>
        <w:t>包括：基础设施、视听企业服务的配套设施等。</w:t>
      </w:r>
    </w:p>
    <w:p>
      <w:pPr>
        <w:spacing w:line="540" w:lineRule="exact"/>
        <w:ind w:firstLine="560"/>
        <w:rPr>
          <w:rFonts w:ascii="仿宋_GB2312" w:hAnsi="仿宋" w:eastAsia="仿宋_GB2312" w:cs="Times New Roman"/>
          <w:b/>
          <w:color w:val="000000"/>
          <w:kern w:val="0"/>
          <w:sz w:val="32"/>
          <w:szCs w:val="32"/>
        </w:rPr>
      </w:pPr>
      <w:r>
        <w:rPr>
          <w:rFonts w:hint="eastAsia" w:ascii="仿宋_GB2312" w:hAnsi="仿宋" w:eastAsia="仿宋_GB2312" w:cs="Times New Roman"/>
          <w:b/>
          <w:color w:val="000000"/>
          <w:kern w:val="0"/>
          <w:sz w:val="32"/>
          <w:szCs w:val="32"/>
        </w:rPr>
        <w:t>五、园区配套公共服务开展及平台建设情况</w:t>
      </w:r>
    </w:p>
    <w:p>
      <w:pPr>
        <w:spacing w:line="540" w:lineRule="exact"/>
        <w:ind w:firstLine="560"/>
        <w:rPr>
          <w:rFonts w:ascii="仿宋_GB2312" w:hAnsi="仿宋" w:eastAsia="仿宋_GB2312" w:cs="黑体"/>
          <w:sz w:val="32"/>
          <w:szCs w:val="32"/>
        </w:rPr>
      </w:pPr>
      <w:r>
        <w:rPr>
          <w:rFonts w:hint="eastAsia" w:ascii="仿宋_GB2312" w:hAnsi="仿宋" w:eastAsia="仿宋_GB2312" w:cs="黑体"/>
          <w:sz w:val="32"/>
          <w:szCs w:val="32"/>
        </w:rPr>
        <w:t>包括：融资推介、信息交流、人才培养、市场推广、管理咨询、知识产权保护、业务代办等服务开展情况，视听领域服务平台建设情况，</w:t>
      </w:r>
      <w:r>
        <w:rPr>
          <w:rFonts w:ascii="仿宋_GB2312" w:hAnsi="仿宋" w:eastAsia="仿宋_GB2312" w:cs="仿宋_GB2312"/>
          <w:sz w:val="32"/>
          <w:szCs w:val="32"/>
        </w:rPr>
        <w:t>园区运营管理制度建设及管理团队的能力和水平，文化金融服务体系建设情况，基础设施建设及运营情况，所在区文化产业政策及专项资金支持情况等</w:t>
      </w:r>
      <w:r>
        <w:rPr>
          <w:rFonts w:hint="eastAsia" w:ascii="仿宋_GB2312" w:hAnsi="仿宋" w:eastAsia="仿宋_GB2312" w:cs="仿宋_GB2312"/>
          <w:sz w:val="32"/>
          <w:szCs w:val="32"/>
        </w:rPr>
        <w:t>。</w:t>
      </w:r>
    </w:p>
    <w:p>
      <w:pPr>
        <w:spacing w:line="540" w:lineRule="exact"/>
        <w:ind w:firstLine="560"/>
        <w:rPr>
          <w:rFonts w:ascii="仿宋_GB2312" w:hAnsi="仿宋" w:eastAsia="仿宋_GB2312" w:cs="Times New Roman"/>
          <w:b/>
          <w:color w:val="000000"/>
          <w:kern w:val="0"/>
          <w:sz w:val="32"/>
          <w:szCs w:val="32"/>
        </w:rPr>
      </w:pPr>
      <w:r>
        <w:rPr>
          <w:rFonts w:hint="eastAsia" w:ascii="仿宋_GB2312" w:hAnsi="仿宋" w:eastAsia="仿宋_GB2312" w:cs="Times New Roman"/>
          <w:b/>
          <w:color w:val="000000"/>
          <w:kern w:val="0"/>
          <w:sz w:val="32"/>
          <w:szCs w:val="32"/>
        </w:rPr>
        <w:t>六、园区入驻企业发展情况</w:t>
      </w:r>
    </w:p>
    <w:p>
      <w:pPr>
        <w:spacing w:line="540" w:lineRule="exact"/>
        <w:ind w:firstLine="560"/>
        <w:rPr>
          <w:rFonts w:ascii="仿宋_GB2312" w:hAnsi="仿宋" w:eastAsia="仿宋_GB2312" w:cs="仿宋_GB2312"/>
          <w:sz w:val="32"/>
          <w:szCs w:val="32"/>
        </w:rPr>
      </w:pPr>
      <w:r>
        <w:rPr>
          <w:rFonts w:hint="eastAsia" w:ascii="仿宋_GB2312" w:hAnsi="仿宋" w:eastAsia="仿宋_GB2312" w:cs="仿宋_GB2312"/>
          <w:sz w:val="32"/>
          <w:szCs w:val="32"/>
        </w:rPr>
        <w:t>包括：产业发展优势和发展方向，视听企业入驻情况，高新技术视听企业情况，产业集聚和辐射情况，入驻企业在内容、技术、模式、业态、体制机制等产业创新方面的成绩和特点，典型案例，获得的行业表彰奖励情况。</w:t>
      </w:r>
    </w:p>
    <w:p>
      <w:pPr>
        <w:spacing w:line="540" w:lineRule="exact"/>
        <w:ind w:firstLine="560"/>
        <w:rPr>
          <w:rFonts w:ascii="仿宋_GB2312" w:hAnsi="仿宋" w:eastAsia="仿宋_GB2312" w:cs="Times New Roman"/>
          <w:b/>
          <w:color w:val="000000"/>
          <w:kern w:val="0"/>
          <w:sz w:val="32"/>
          <w:szCs w:val="32"/>
        </w:rPr>
      </w:pPr>
      <w:r>
        <w:rPr>
          <w:rFonts w:hint="eastAsia" w:ascii="仿宋_GB2312" w:hAnsi="仿宋" w:eastAsia="仿宋_GB2312" w:cs="Times New Roman"/>
          <w:b/>
          <w:color w:val="000000"/>
          <w:kern w:val="0"/>
          <w:sz w:val="32"/>
          <w:szCs w:val="32"/>
        </w:rPr>
        <w:t>七、园区下一步发展计划</w:t>
      </w:r>
    </w:p>
    <w:p>
      <w:pPr>
        <w:spacing w:line="540" w:lineRule="exact"/>
        <w:ind w:firstLine="560"/>
        <w:rPr>
          <w:rFonts w:ascii="仿宋_GB2312" w:hAnsi="仿宋" w:eastAsia="仿宋_GB2312" w:cs="宋体"/>
          <w:kern w:val="0"/>
          <w:sz w:val="32"/>
          <w:szCs w:val="30"/>
        </w:rPr>
      </w:pPr>
      <w:r>
        <w:rPr>
          <w:rFonts w:hint="eastAsia" w:ascii="仿宋_GB2312" w:hAnsi="仿宋" w:eastAsia="仿宋_GB2312" w:cs="仿宋_GB2312"/>
          <w:sz w:val="32"/>
          <w:szCs w:val="32"/>
        </w:rPr>
        <w:t>园区中长期发展目标和规划设想</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6154641"/>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NzE4OWNlNTNkYjg1OWZjOTkyZjYwYWQyODMyOTkifQ=="/>
  </w:docVars>
  <w:rsids>
    <w:rsidRoot w:val="00032F6A"/>
    <w:rsid w:val="00010C6C"/>
    <w:rsid w:val="00032F24"/>
    <w:rsid w:val="00032F6A"/>
    <w:rsid w:val="00035CB2"/>
    <w:rsid w:val="00044399"/>
    <w:rsid w:val="00064701"/>
    <w:rsid w:val="00091940"/>
    <w:rsid w:val="000D587B"/>
    <w:rsid w:val="001003A3"/>
    <w:rsid w:val="001006C9"/>
    <w:rsid w:val="001130DF"/>
    <w:rsid w:val="00120469"/>
    <w:rsid w:val="00135956"/>
    <w:rsid w:val="001716D9"/>
    <w:rsid w:val="001C3680"/>
    <w:rsid w:val="001C3C3B"/>
    <w:rsid w:val="001E56E7"/>
    <w:rsid w:val="001E6BE2"/>
    <w:rsid w:val="0022315E"/>
    <w:rsid w:val="00236AB7"/>
    <w:rsid w:val="00266119"/>
    <w:rsid w:val="002A7609"/>
    <w:rsid w:val="002C3D14"/>
    <w:rsid w:val="002C70FB"/>
    <w:rsid w:val="002F6AF4"/>
    <w:rsid w:val="003024EB"/>
    <w:rsid w:val="0031762D"/>
    <w:rsid w:val="00333ECF"/>
    <w:rsid w:val="00340430"/>
    <w:rsid w:val="00361657"/>
    <w:rsid w:val="003814BD"/>
    <w:rsid w:val="003C4E34"/>
    <w:rsid w:val="003F3CC8"/>
    <w:rsid w:val="00431C6E"/>
    <w:rsid w:val="0044283A"/>
    <w:rsid w:val="00442982"/>
    <w:rsid w:val="00447C59"/>
    <w:rsid w:val="00465021"/>
    <w:rsid w:val="00465362"/>
    <w:rsid w:val="00486B16"/>
    <w:rsid w:val="00492D8B"/>
    <w:rsid w:val="004E28F6"/>
    <w:rsid w:val="004E66E0"/>
    <w:rsid w:val="00510EDB"/>
    <w:rsid w:val="005168D8"/>
    <w:rsid w:val="00560AC1"/>
    <w:rsid w:val="005A2AB8"/>
    <w:rsid w:val="005F1FDE"/>
    <w:rsid w:val="006668FE"/>
    <w:rsid w:val="006917C1"/>
    <w:rsid w:val="006F2D8E"/>
    <w:rsid w:val="00711630"/>
    <w:rsid w:val="00715599"/>
    <w:rsid w:val="00720FAF"/>
    <w:rsid w:val="00740AB8"/>
    <w:rsid w:val="00743D44"/>
    <w:rsid w:val="0077336B"/>
    <w:rsid w:val="0078043E"/>
    <w:rsid w:val="007946A7"/>
    <w:rsid w:val="007D2C99"/>
    <w:rsid w:val="007E70C8"/>
    <w:rsid w:val="007F6EF2"/>
    <w:rsid w:val="00822396"/>
    <w:rsid w:val="00896DD4"/>
    <w:rsid w:val="008A549B"/>
    <w:rsid w:val="008B2674"/>
    <w:rsid w:val="008B37A2"/>
    <w:rsid w:val="008E00E2"/>
    <w:rsid w:val="008E57E5"/>
    <w:rsid w:val="00926417"/>
    <w:rsid w:val="009347CE"/>
    <w:rsid w:val="009550C9"/>
    <w:rsid w:val="00960ADE"/>
    <w:rsid w:val="009802CA"/>
    <w:rsid w:val="00982537"/>
    <w:rsid w:val="009908B7"/>
    <w:rsid w:val="009A2C2A"/>
    <w:rsid w:val="009C0167"/>
    <w:rsid w:val="009C0629"/>
    <w:rsid w:val="009C6117"/>
    <w:rsid w:val="009F6218"/>
    <w:rsid w:val="00A35114"/>
    <w:rsid w:val="00A5520C"/>
    <w:rsid w:val="00A60FD6"/>
    <w:rsid w:val="00A67855"/>
    <w:rsid w:val="00A757B9"/>
    <w:rsid w:val="00A8312D"/>
    <w:rsid w:val="00A90DB4"/>
    <w:rsid w:val="00A95AD6"/>
    <w:rsid w:val="00AA6A03"/>
    <w:rsid w:val="00AD6A7D"/>
    <w:rsid w:val="00AD7969"/>
    <w:rsid w:val="00B17DB1"/>
    <w:rsid w:val="00B43905"/>
    <w:rsid w:val="00B50005"/>
    <w:rsid w:val="00B75C99"/>
    <w:rsid w:val="00B91A5D"/>
    <w:rsid w:val="00BF150B"/>
    <w:rsid w:val="00C33612"/>
    <w:rsid w:val="00C84106"/>
    <w:rsid w:val="00C95BA0"/>
    <w:rsid w:val="00CA729B"/>
    <w:rsid w:val="00CE5809"/>
    <w:rsid w:val="00CE7A84"/>
    <w:rsid w:val="00CF5E8B"/>
    <w:rsid w:val="00D141DD"/>
    <w:rsid w:val="00D20ADF"/>
    <w:rsid w:val="00D26811"/>
    <w:rsid w:val="00D7718A"/>
    <w:rsid w:val="00D80FBA"/>
    <w:rsid w:val="00D962B2"/>
    <w:rsid w:val="00DA0A2B"/>
    <w:rsid w:val="00DA0A85"/>
    <w:rsid w:val="00DA3A7E"/>
    <w:rsid w:val="00DA4C1E"/>
    <w:rsid w:val="00DB3F67"/>
    <w:rsid w:val="00E0493E"/>
    <w:rsid w:val="00E27034"/>
    <w:rsid w:val="00E35C18"/>
    <w:rsid w:val="00E36327"/>
    <w:rsid w:val="00E46988"/>
    <w:rsid w:val="00E54ADE"/>
    <w:rsid w:val="00E84AA2"/>
    <w:rsid w:val="00EC082E"/>
    <w:rsid w:val="00EF13D0"/>
    <w:rsid w:val="00F0638F"/>
    <w:rsid w:val="00F26E7C"/>
    <w:rsid w:val="00F376D2"/>
    <w:rsid w:val="00F37F51"/>
    <w:rsid w:val="00F41046"/>
    <w:rsid w:val="00F725AA"/>
    <w:rsid w:val="00F772FE"/>
    <w:rsid w:val="00FB47DE"/>
    <w:rsid w:val="00FD07A9"/>
    <w:rsid w:val="04B0389B"/>
    <w:rsid w:val="0A1E4E03"/>
    <w:rsid w:val="10260EB5"/>
    <w:rsid w:val="1800023D"/>
    <w:rsid w:val="258B7398"/>
    <w:rsid w:val="26812549"/>
    <w:rsid w:val="26E5365D"/>
    <w:rsid w:val="2D557B2E"/>
    <w:rsid w:val="3538296D"/>
    <w:rsid w:val="3EEF2FAC"/>
    <w:rsid w:val="43D30430"/>
    <w:rsid w:val="49D547D7"/>
    <w:rsid w:val="4F813436"/>
    <w:rsid w:val="50D61C22"/>
    <w:rsid w:val="527F8729"/>
    <w:rsid w:val="610C6A0D"/>
    <w:rsid w:val="680047B3"/>
    <w:rsid w:val="6D714693"/>
    <w:rsid w:val="6EA135CC"/>
    <w:rsid w:val="70AA78F9"/>
    <w:rsid w:val="7DC7537B"/>
    <w:rsid w:val="7F17DAB9"/>
    <w:rsid w:val="C7F7DBE0"/>
    <w:rsid w:val="DFFFB1F4"/>
    <w:rsid w:val="FEDFBDD1"/>
    <w:rsid w:val="FFCEC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spacing w:line="240" w:lineRule="atLeast"/>
      <w:jc w:val="center"/>
      <w:outlineLvl w:val="0"/>
    </w:pPr>
    <w:rPr>
      <w:rFonts w:ascii="Times New Roman" w:hAnsi="Times New Roman" w:eastAsia="黑体" w:cs="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标题 1 Char"/>
    <w:basedOn w:val="7"/>
    <w:link w:val="2"/>
    <w:qFormat/>
    <w:uiPriority w:val="0"/>
    <w:rPr>
      <w:rFonts w:ascii="Times New Roman" w:hAnsi="Times New Roman" w:eastAsia="黑体" w:cs="Times New Roman"/>
      <w:b/>
      <w:bCs/>
      <w:kern w:val="44"/>
      <w:sz w:val="44"/>
      <w:szCs w:val="44"/>
    </w:rPr>
  </w:style>
  <w:style w:type="character" w:customStyle="1" w:styleId="13">
    <w:name w:val="批注框文本 Char"/>
    <w:basedOn w:val="7"/>
    <w:link w:val="3"/>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861</Words>
  <Characters>861</Characters>
  <Lines>28</Lines>
  <Paragraphs>8</Paragraphs>
  <TotalTime>1517</TotalTime>
  <ScaleCrop>false</ScaleCrop>
  <LinksUpToDate>false</LinksUpToDate>
  <CharactersWithSpaces>861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2022-07-26T17:33:00Z</dcterms:created>
  <dc:creator>杨 澜</dc:creator>
  <cp:lastModifiedBy>vv.</cp:lastModifiedBy>
  <cp:lastPrinted>2022-11-01T03:40:00Z</cp:lastPrinted>
  <dcterms:modified xsi:type="dcterms:W3CDTF">2022-12-09T03:57:26Z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E9F3FFAFA3C847B690EE555EAFC66B2F</vt:lpwstr>
  </property>
</Properties>
</file>