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A29FF">
      <w:pPr>
        <w:pStyle w:val="4"/>
        <w:spacing w:beforeAutospacing="0" w:afterAutospacing="0" w:line="500" w:lineRule="exact"/>
        <w:jc w:val="both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附件3：</w:t>
      </w:r>
    </w:p>
    <w:p w14:paraId="14A219F3">
      <w:pPr>
        <w:pStyle w:val="4"/>
        <w:widowControl/>
        <w:spacing w:beforeAutospacing="0" w:afterAutospacing="0" w:line="560" w:lineRule="exact"/>
        <w:jc w:val="center"/>
        <w:rPr>
          <w:rFonts w:ascii="方正小标宋简体" w:hAnsi="Times New Roman" w:eastAsia="方正小标宋简体"/>
          <w:kern w:val="2"/>
          <w:sz w:val="44"/>
          <w:szCs w:val="44"/>
        </w:rPr>
      </w:pPr>
      <w:r>
        <w:rPr>
          <w:rFonts w:hint="eastAsia" w:ascii="方正小标宋简体" w:hAnsi="Times New Roman" w:eastAsia="方正小标宋简体"/>
          <w:kern w:val="2"/>
          <w:sz w:val="44"/>
          <w:szCs w:val="44"/>
        </w:rPr>
        <w:t>自行采购比选评分表</w:t>
      </w:r>
    </w:p>
    <w:tbl>
      <w:tblPr>
        <w:tblStyle w:val="5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59"/>
        <w:gridCol w:w="10743"/>
        <w:gridCol w:w="1559"/>
      </w:tblGrid>
      <w:tr w14:paraId="19B41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vAlign w:val="center"/>
          </w:tcPr>
          <w:p w14:paraId="0115ACD7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1902" w:type="dxa"/>
            <w:gridSpan w:val="2"/>
            <w:vAlign w:val="center"/>
          </w:tcPr>
          <w:p w14:paraId="613197A6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评分内容</w:t>
            </w:r>
          </w:p>
        </w:tc>
        <w:tc>
          <w:tcPr>
            <w:tcW w:w="1559" w:type="dxa"/>
            <w:vAlign w:val="center"/>
          </w:tcPr>
          <w:p w14:paraId="5C71BA10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得分</w:t>
            </w:r>
          </w:p>
        </w:tc>
      </w:tr>
      <w:tr w14:paraId="54C86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709" w:type="dxa"/>
            <w:vAlign w:val="center"/>
          </w:tcPr>
          <w:p w14:paraId="2B8532CF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vAlign w:val="center"/>
          </w:tcPr>
          <w:p w14:paraId="53CAEC56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类似业绩</w:t>
            </w:r>
          </w:p>
        </w:tc>
        <w:tc>
          <w:tcPr>
            <w:tcW w:w="10743" w:type="dxa"/>
            <w:vAlign w:val="center"/>
          </w:tcPr>
          <w:p w14:paraId="783E895C">
            <w:pPr>
              <w:widowControl w:val="0"/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年1月1日至今（以合同签订时间为准），投标人承担或参与过与本项目采购需求类似的业绩。每提供一个业绩得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分，共10分。</w:t>
            </w:r>
          </w:p>
          <w:p w14:paraId="0102A3C0">
            <w:pPr>
              <w:widowControl w:val="0"/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（投标人业绩须提供合同首页、盖章页、关键服务内容页并加盖本单位公章，或已发布标准的首页、起草单位页并加盖本单位公章。）</w:t>
            </w:r>
          </w:p>
        </w:tc>
        <w:tc>
          <w:tcPr>
            <w:tcW w:w="1559" w:type="dxa"/>
            <w:vAlign w:val="center"/>
          </w:tcPr>
          <w:p w14:paraId="2AD48133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0-10分</w:t>
            </w:r>
          </w:p>
        </w:tc>
      </w:tr>
      <w:tr w14:paraId="2724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709" w:type="dxa"/>
            <w:vAlign w:val="center"/>
          </w:tcPr>
          <w:p w14:paraId="52ACFD52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vAlign w:val="center"/>
          </w:tcPr>
          <w:p w14:paraId="415BD304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有利于本项目的相关资质</w:t>
            </w:r>
          </w:p>
        </w:tc>
        <w:tc>
          <w:tcPr>
            <w:tcW w:w="10743" w:type="dxa"/>
            <w:vAlign w:val="center"/>
          </w:tcPr>
          <w:p w14:paraId="209BF393">
            <w:pPr>
              <w:spacing w:line="380" w:lineRule="exac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投标人具有中国合格评定国家认可委员会实验室认可证书（CNAS）或检验检测机构资质认定证书（CMA），得2分；不具备，0分。</w:t>
            </w:r>
          </w:p>
          <w:p w14:paraId="5AEF0C1D">
            <w:pPr>
              <w:widowControl w:val="0"/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（提供有效证书复印件并加盖投标人公章。）</w:t>
            </w:r>
          </w:p>
        </w:tc>
        <w:tc>
          <w:tcPr>
            <w:tcW w:w="1559" w:type="dxa"/>
            <w:vAlign w:val="center"/>
          </w:tcPr>
          <w:p w14:paraId="52BD4085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0-2分</w:t>
            </w:r>
          </w:p>
        </w:tc>
      </w:tr>
      <w:tr w14:paraId="44EEC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709" w:type="dxa"/>
            <w:vAlign w:val="center"/>
          </w:tcPr>
          <w:p w14:paraId="75C81DB0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3</w:t>
            </w:r>
          </w:p>
        </w:tc>
        <w:tc>
          <w:tcPr>
            <w:tcW w:w="1159" w:type="dxa"/>
            <w:vAlign w:val="center"/>
          </w:tcPr>
          <w:p w14:paraId="767F258D">
            <w:pPr>
              <w:spacing w:line="380" w:lineRule="exact"/>
              <w:jc w:val="center"/>
              <w:textAlignment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团队人员</w:t>
            </w:r>
          </w:p>
        </w:tc>
        <w:tc>
          <w:tcPr>
            <w:tcW w:w="10743" w:type="dxa"/>
            <w:vAlign w:val="center"/>
          </w:tcPr>
          <w:p w14:paraId="148CD68F">
            <w:pPr>
              <w:spacing w:line="380" w:lineRule="exac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1.服务团队配置 0-3分</w:t>
            </w:r>
          </w:p>
          <w:p w14:paraId="2D022698">
            <w:pPr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根据项目服务内容，配置服务团队，团队人员数量不少于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0人。结构合理、人员齐备、分工明确，3分；人员配置不齐备、分工不明确，1分；不满足项目要求，0分。</w:t>
            </w:r>
          </w:p>
          <w:p w14:paraId="62FEC735">
            <w:pPr>
              <w:spacing w:line="380" w:lineRule="exac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2.项目经理 0-3分</w:t>
            </w:r>
          </w:p>
          <w:p w14:paraId="4312D397">
            <w:pPr>
              <w:spacing w:line="380" w:lineRule="exac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（1）具备5年（含）以上与超高清研发或服务相关的从业经验，具有较强的沟通、协调和组织能力，2分；不具备，0分。</w:t>
            </w:r>
          </w:p>
          <w:p w14:paraId="75575905">
            <w:pPr>
              <w:widowControl w:val="0"/>
              <w:spacing w:line="380" w:lineRule="exac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（2）具有高级及以上职称，1分；不具备，0分。</w:t>
            </w:r>
          </w:p>
          <w:p w14:paraId="3F47772C">
            <w:pPr>
              <w:widowControl w:val="0"/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（说明：需提供项目经理相关证书复印件、类似业绩及经验等相关说明材料，以及其在投标单位近六个月内任意一个月的社保证明，并加盖单位公章。）</w:t>
            </w:r>
          </w:p>
          <w:p w14:paraId="6D010232">
            <w:pPr>
              <w:spacing w:line="380" w:lineRule="exac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3.项目团队成员（不包括项目经理）0-12分</w:t>
            </w:r>
          </w:p>
          <w:p w14:paraId="5C02EDCC">
            <w:pPr>
              <w:widowControl w:val="0"/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（1）团队人员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具有正高级职称的人员数量不少于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2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人，6分；不足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2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人，3分；不具备，0分。</w:t>
            </w:r>
          </w:p>
          <w:p w14:paraId="7498506E">
            <w:pPr>
              <w:widowControl w:val="0"/>
              <w:spacing w:line="380" w:lineRule="exac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（2）团队人员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具有副高级职称的人员数量不少于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3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人，6分；不足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3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人，3分；不具备，0分。</w:t>
            </w:r>
          </w:p>
          <w:p w14:paraId="509D23A3">
            <w:pPr>
              <w:widowControl w:val="0"/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说明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：1.以上涉及职称证书的需提供相关证书复印件，并加盖单位公章。</w:t>
            </w:r>
          </w:p>
          <w:p w14:paraId="51672196">
            <w:pPr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2.需提供服务团队人员类似业绩及经验等相关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说明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材料，并加盖单位公章。）</w:t>
            </w:r>
          </w:p>
        </w:tc>
        <w:tc>
          <w:tcPr>
            <w:tcW w:w="1559" w:type="dxa"/>
            <w:vAlign w:val="center"/>
          </w:tcPr>
          <w:p w14:paraId="31343778">
            <w:pPr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0-18分</w:t>
            </w:r>
          </w:p>
        </w:tc>
      </w:tr>
      <w:tr w14:paraId="0269B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9" w:type="dxa"/>
            <w:vAlign w:val="center"/>
          </w:tcPr>
          <w:p w14:paraId="611456D3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vAlign w:val="center"/>
          </w:tcPr>
          <w:p w14:paraId="44061ECC">
            <w:pPr>
              <w:spacing w:line="380" w:lineRule="exact"/>
              <w:jc w:val="center"/>
              <w:textAlignment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服务方案</w:t>
            </w:r>
          </w:p>
        </w:tc>
        <w:tc>
          <w:tcPr>
            <w:tcW w:w="10743" w:type="dxa"/>
            <w:vAlign w:val="center"/>
          </w:tcPr>
          <w:p w14:paraId="69B1BBA3">
            <w:pPr>
              <w:widowControl w:val="0"/>
              <w:spacing w:line="380" w:lineRule="exac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1.本项目的难点及关键点分析 0-4分</w:t>
            </w:r>
          </w:p>
          <w:p w14:paraId="4E15D5DB">
            <w:pPr>
              <w:widowControl w:val="0"/>
              <w:spacing w:line="380" w:lineRule="exac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充分分析本项目服务内容，抓住难点及关键点，能提出有效的解决方案4分；能分析出难点及关键点，解决方案一般，2分，分析出相关问题，但不能准确把握难点及关键点，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得1分；未提供相关内容，得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0分。</w:t>
            </w:r>
          </w:p>
          <w:p w14:paraId="25579445">
            <w:pPr>
              <w:widowControl w:val="0"/>
              <w:spacing w:line="380" w:lineRule="exac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2.项目总体实施方案0-8分</w:t>
            </w:r>
          </w:p>
          <w:p w14:paraId="49066044">
            <w:pPr>
              <w:widowControl w:val="0"/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根据项目服务内容与各项要求，制定总体实施方案，包括流程、进度、相关政策，评测环境、标准及工具，质量保障及安全等。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方案完整详实、有针对性，细节描述详细，实施性强，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分；方案较完整、有一定的针对性，但内容描述不够具体，缺少关键细节描述，得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分；方案较完整但不够具体，缺乏针对性，描述简略，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分；方案内容不完整、缺失严重，得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分；未提供相关内容，得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分。</w:t>
            </w:r>
          </w:p>
          <w:p w14:paraId="4912C433">
            <w:pPr>
              <w:widowControl w:val="0"/>
              <w:tabs>
                <w:tab w:val="left" w:pos="1050"/>
                <w:tab w:val="right" w:leader="dot" w:pos="8937"/>
              </w:tabs>
              <w:spacing w:line="380" w:lineRule="exac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3.服务方案 0-4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8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分</w:t>
            </w:r>
          </w:p>
          <w:p w14:paraId="3A239065">
            <w:pPr>
              <w:widowControl w:val="0"/>
              <w:tabs>
                <w:tab w:val="left" w:pos="1050"/>
                <w:tab w:val="right" w:leader="dot" w:pos="8937"/>
              </w:tabs>
              <w:spacing w:line="380" w:lineRule="exac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（1）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技术评测0-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10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分</w:t>
            </w:r>
          </w:p>
          <w:p w14:paraId="7982049B">
            <w:pPr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根据项目服务内容与各项要求，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针对“超现场”优质内容供给方向项目、支持“超现场”传输分发服务方向项目、支持“超现场”终端运营服务方向项目、支持“超现场”技术创新应用方向项目，协助北京市广电局制定技术评测方案，搭建评测环境，对申报项目的功能、性能等技术指标开展技术评测，并出具技术评测报告。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方案完整详实、细节描述准确有针对性、方案合理可实施性，10分；方案基本完整、细节描述不够准确、有一定的针对性，6分；方案不够具体且内容有缺失，2分；未提供相关内容，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分。</w:t>
            </w:r>
          </w:p>
          <w:p w14:paraId="44979BE8">
            <w:pPr>
              <w:widowControl w:val="0"/>
              <w:spacing w:line="380" w:lineRule="exac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）专业评测 0-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分</w:t>
            </w:r>
          </w:p>
          <w:p w14:paraId="5F28AA48">
            <w:pPr>
              <w:widowControl w:val="0"/>
              <w:spacing w:line="380" w:lineRule="exac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根据项目服务内容与各项要求，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针对“超现场”优质内容供给方向项目、支持“超现场”传输分发服务方向项目、支持“超现场”终端运营服务方向项目、支持“超现场”技术创新应用方向项目，协助北京市广电局制定专业评测方案，搭建评测环境，从技术创新性、先进性、示范性、经济效益、社会效益等方面对申报项目进行专业评测，并出具专业评测报告。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方案完整详实、细节描述准确有针对性、方案合理可实施性，10分；方案基本完整、细节描述不够准确、有一定的针对性，6分；方案不够具体且内容有缺失，2分；未提供相关内容，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分。</w:t>
            </w:r>
          </w:p>
          <w:p w14:paraId="15C13ABF">
            <w:pPr>
              <w:widowControl w:val="0"/>
              <w:spacing w:line="380" w:lineRule="exac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）现场评测 0-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分</w:t>
            </w:r>
          </w:p>
          <w:p w14:paraId="28C625AB">
            <w:pPr>
              <w:widowControl w:val="0"/>
              <w:spacing w:line="380" w:lineRule="exac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根据项目服务内容与各项要求，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针对“超现场”优质内容供给方向项目、支持“超现场”传输分发服务方向项目、支持“超现场”终端运营服务方向项目、支持“超现场”技术创新应用方向项目，协助北京市广电局制定现场评测方案，组织开展现场评测探勘，检查申报项目实施的技术细节、成果和应用等情况，并出具现场评测报告。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方案完整详实、细节描述准确有针对性、方案合理可实施性，10分；方案基本完整、细节描述不够准确、有一定的针对性，6分；方案不够具体且内容有缺失，2分；未提供相关内容，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分。</w:t>
            </w:r>
          </w:p>
          <w:p w14:paraId="2976F073">
            <w:pPr>
              <w:widowControl w:val="0"/>
              <w:spacing w:line="380" w:lineRule="exac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（4）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政策宣讲 0-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分</w:t>
            </w:r>
          </w:p>
          <w:p w14:paraId="00B63DF7">
            <w:pPr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根据项目服务内容与各项要求，协助采购人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做好项目征集咨询接待工作，制定整体策划方案，设计印制政策宣讲宣传手册，组织开展政策“进园区、进企业、进高校、进实验室”活动。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方案完整详实、细节描述准确有针对性、方案合理可实施性，5分；方案基本完整、细节描述不够准确、有一定的针对性，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分；方案不够具体且内容有缺失，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分；未提供相关内容，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分。</w:t>
            </w:r>
          </w:p>
          <w:p w14:paraId="56781587">
            <w:pPr>
              <w:widowControl w:val="0"/>
              <w:spacing w:line="380" w:lineRule="exac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 xml:space="preserve">（5）项目申报服务 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0-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分</w:t>
            </w:r>
          </w:p>
          <w:p w14:paraId="0EF66CA1">
            <w:pPr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根据项目服务内容与各项要求，协助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采购人提供线上申报技术服务，组织申报单位通过线上申报系统提交申报材料，并及时解答申报单位疑问。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对项目总体申报情况进行相关数据分析和整理。对申报项目的文件材料、视频材料进行整理归档。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方案完整详实、细节描述准确有针对性、方案合理可实施性，5分；方案基本完整、细节描述不够准确、有一定的针对性，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分；方案不够具体且内容有缺失，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分；未提供相关内容，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分。</w:t>
            </w:r>
          </w:p>
          <w:p w14:paraId="28EA4889">
            <w:pPr>
              <w:widowControl w:val="0"/>
              <w:spacing w:line="380" w:lineRule="exac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 xml:space="preserve">6）绩效跟踪评价 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0-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分</w:t>
            </w:r>
          </w:p>
          <w:p w14:paraId="224B63D8">
            <w:pPr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根据项目服务内容与各项要求，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协助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采购人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对申报项目的受理、申报、技术评测、专业评测、现场评测，以及政策宣讲等工作开展绩效跟踪评价工作。方案完整详实、细节描述准确有针对性、方案合理可实施性，5分；方案基本完整、细节描述不够准确、有一定的针对性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分；方案不够具体且内容有缺失，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分；未提供相关内容，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分。</w:t>
            </w:r>
          </w:p>
          <w:p w14:paraId="0B93F979">
            <w:pPr>
              <w:widowControl w:val="0"/>
              <w:spacing w:line="380" w:lineRule="exac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服务响应与承诺 0-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分</w:t>
            </w:r>
          </w:p>
          <w:p w14:paraId="56C8CFBB">
            <w:pPr>
              <w:widowControl w:val="0"/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根据本项目服务内容与各项要求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，响应及时，承诺全面，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3分；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根据本项目服务内容与各项要求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，响应及时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有欠缺</w:t>
            </w: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>，承诺全面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一般，1分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；未提供相关内容，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分。</w:t>
            </w:r>
          </w:p>
        </w:tc>
        <w:tc>
          <w:tcPr>
            <w:tcW w:w="1559" w:type="dxa"/>
            <w:vAlign w:val="center"/>
          </w:tcPr>
          <w:p w14:paraId="7D9D9E3C">
            <w:pPr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0-60分</w:t>
            </w:r>
          </w:p>
        </w:tc>
      </w:tr>
      <w:tr w14:paraId="0ECCC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09" w:type="dxa"/>
            <w:vAlign w:val="center"/>
          </w:tcPr>
          <w:p w14:paraId="4DFA5FD6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5</w:t>
            </w:r>
          </w:p>
        </w:tc>
        <w:tc>
          <w:tcPr>
            <w:tcW w:w="1159" w:type="dxa"/>
            <w:vAlign w:val="center"/>
          </w:tcPr>
          <w:p w14:paraId="57F2E7BC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报价得分</w:t>
            </w:r>
          </w:p>
        </w:tc>
        <w:tc>
          <w:tcPr>
            <w:tcW w:w="10743" w:type="dxa"/>
            <w:vAlign w:val="center"/>
          </w:tcPr>
          <w:p w14:paraId="313FEFD8">
            <w:pPr>
              <w:widowControl w:val="0"/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采用低价优先法计算，即满足招标文件要求且投标价格最低的投标报价为评标基准价，其价格分为满分。其他满足招标文件要求的投标人的价格分统一按照下列公式计算：</w:t>
            </w:r>
          </w:p>
          <w:p w14:paraId="5EC22A20">
            <w:pPr>
              <w:widowControl w:val="0"/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投标报价得分= (评标基准价／投标报价)×10。</w:t>
            </w:r>
          </w:p>
          <w:p w14:paraId="7E1886DA">
            <w:pPr>
              <w:widowControl w:val="0"/>
              <w:spacing w:line="38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注：报价得分保留两位小数。</w:t>
            </w:r>
          </w:p>
        </w:tc>
        <w:tc>
          <w:tcPr>
            <w:tcW w:w="1559" w:type="dxa"/>
            <w:vAlign w:val="center"/>
          </w:tcPr>
          <w:p w14:paraId="74FB62AE">
            <w:pPr>
              <w:widowControl w:val="0"/>
              <w:spacing w:line="38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0-10分</w:t>
            </w:r>
          </w:p>
        </w:tc>
      </w:tr>
    </w:tbl>
    <w:p w14:paraId="6293938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465CB"/>
    <w:rsid w:val="7D74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560" w:lineRule="exact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 w:val="0"/>
      <w:spacing w:beforeAutospacing="1" w:afterAutospacing="1" w:line="240" w:lineRule="auto"/>
      <w:jc w:val="left"/>
    </w:pPr>
    <w:rPr>
      <w:rFonts w:cs="Times New Roman" w:asciiTheme="minorHAnsi" w:hAnsiTheme="minorHAnsi" w:eastAsiaTheme="minorEastAsia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2026-08-18T03:01:00Z</dcterms:created>
  <dc:creator>ZHT</dc:creator>
  <cp:lastModifiedBy>ZHT</cp:lastModifiedBy>
  <dcterms:modified xsi:type="dcterms:W3CDTF">2026-08-18T03:02:22Z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4F5A90ED33684B53BD770D3A10C26B51_11</vt:lpwstr>
  </property>
  <property fmtid="{D5CDD505-2E9C-101B-9397-08002B2CF9AE}" pid="4" name="KSOTemplateDocerSaveRecord">
    <vt:lpwstr>eyJoZGlkIjoiZDg5MjUxOTYwMmIzNDhjODEzMTBjMzBjODVmODc5MTYiLCJ1c2VySWQiOiI0MzMwNjkzMDYifQ==</vt:lpwstr>
  </property>
</Properties>
</file>