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297"/>
        <w:gridCol w:w="128"/>
        <w:gridCol w:w="1338"/>
        <w:gridCol w:w="1454"/>
      </w:tblGrid>
      <w:tr w14:paraId="0F36C832">
        <w:trPr>
          <w:trHeight w:val="645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C01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5E25A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6ADDA2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 w14:paraId="4D176C02">
        <w:trPr>
          <w:trHeight w:val="170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271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 w14:paraId="3ECBC8C0"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95381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项目名称：媒体融合创新技术与服务应用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val="en-US" w:eastAsia="zh-CN"/>
              </w:rPr>
              <w:t>遴选推广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391A8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B59D98"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63B4C81"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8AD05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D780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373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 w14:paraId="55AB4F61"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09B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3FB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A8A40"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45F6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CA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7692A48"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FA7F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52596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 w14:paraId="022408C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528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023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114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A516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0078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2536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0623BF0"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56D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342B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2356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779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E4EF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D93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36F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CBE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6C7C452"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199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2D38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58C46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A67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10FA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30CC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D3A8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367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083A971"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359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8DC3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519F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621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D81A8"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ED96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2876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A343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590F3B4"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495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D0D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F092BA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0255A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AC8E36E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3F400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F44B1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44B6A2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1C23B28D"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167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044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A73D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2F50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2D59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5FFC7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B783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A04D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8D93A67"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542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A1E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D11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0296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2380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C8E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E865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8C5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6FC5BD2"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B32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B47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E20F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E337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50F7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BA9C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4261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2197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5C8F239"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560B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07A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B08A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 w14:paraId="2C141EB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A56E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623C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5D197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 w14:paraId="177C0A73"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C35F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454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 w14:paraId="6801823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66E01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EEE9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A4DF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F648F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2C37C23"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2DD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D210E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92D60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23478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0A59F89C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39E5FB1D"/>
    <w:rsid w:val="61EF6A28"/>
    <w:rsid w:val="6DAAD3CD"/>
    <w:rsid w:val="78FFB2BA"/>
    <w:rsid w:val="7BC778BC"/>
    <w:rsid w:val="7DFF7714"/>
    <w:rsid w:val="7FB9ADD0"/>
    <w:rsid w:val="DBDF9F3B"/>
    <w:rsid w:val="DBFDD97D"/>
    <w:rsid w:val="F7FF8D7A"/>
    <w:rsid w:val="F8B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2021-03-28T08:00:00Z</dcterms:created>
  <dc:creator>吉芳</dc:creator>
  <cp:lastModifiedBy>王嘉辰</cp:lastModifiedBy>
  <cp:lastPrinted>2020-05-18T03:30:00Z</cp:lastPrinted>
  <dcterms:modified xsi:type="dcterms:W3CDTF">2025-08-18T09:12:28Z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0DB0FDF94CAD1B5722979968677A9708_43</vt:lpwstr>
  </property>
</Properties>
</file>