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bookmarkEnd w:id="0"/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8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380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原件拍照或复印件加盖单位组织人事部门印章后，拍照上传，如系统自动调取出来则不需重复上传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每年必须完成至少90学时，其中包括36学时本专业的学习，证明材料上传至系统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有效期内的《中华人民共和国播音员主持人证》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A6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A6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 w:cs="Times New Roman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eastAsia="zh-CN"/>
              </w:rPr>
              <w:t>由单位组织人事部门出具并加盖印章后，上传至系统</w:t>
            </w:r>
            <w:r>
              <w:rPr>
                <w:rFonts w:hint="eastAsia" w:ascii="仿宋" w:hAnsi="仿宋" w:eastAsia="仿宋" w:cs="Times New Roman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34E67B05"/>
    <w:rsid w:val="34E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2024-07-01T09:41:00Z</dcterms:created>
  <dc:creator>韩速韬</dc:creator>
  <cp:lastModifiedBy>韩速韬</cp:lastModifiedBy>
  <dcterms:modified xsi:type="dcterms:W3CDTF">2024-07-01T09:41:31Z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881AFCE4D229428380D75081B0BE7B83_11</vt:lpwstr>
  </property>
</Properties>
</file>