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39"/>
        <w:gridCol w:w="1418"/>
        <w:gridCol w:w="4961"/>
        <w:gridCol w:w="763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4" w:hRule="atLeast"/>
        </w:trPr>
        <w:tc>
          <w:tcPr>
            <w:tcW w:w="14755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widowControl/>
              <w:spacing w:line="560" w:lineRule="exact"/>
              <w:rPr>
                <w:rFonts w:ascii="仿宋_GB2312" w:hAnsi="仿宋" w:eastAsia="仿宋_GB2312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32"/>
                <w:szCs w:val="32"/>
              </w:rPr>
              <w:t>附件2：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333333"/>
                <w:kern w:val="0"/>
                <w:sz w:val="32"/>
                <w:szCs w:val="32"/>
              </w:rPr>
              <w:t>2023年北京市提升广播电视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b/>
                <w:color w:val="333333"/>
                <w:kern w:val="0"/>
                <w:sz w:val="32"/>
                <w:szCs w:val="32"/>
              </w:rPr>
              <w:t>和网络视听业国际传播力奖励扶持专项资金拟入库项目名单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  <w:t>类型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  <w:t>申报机构名称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  <w:t>拟入库项目名称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《豆腐味道》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《亚投行之路》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《寻找天籁》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《运行中国》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《做客中国---遇见美好生活》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《极致中国》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《中国创业者》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《鸟瞰中国》第二季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《风采北京》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《魅力中国》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《中国企业在海外》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《中国之新》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《当代中国人物志》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《游走中国》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《行走的风景》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《当卢浮宫遇见紫禁城》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《共生缘》（峇峇娘惹情）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《新轴线---</w:t>
            </w: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21</w:t>
            </w: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世纪海上丝绸之路》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《中国设计》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《熊猫使者》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北京丰德传媒广告有限公司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《美丽乡村》第一季、第二季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北京丰德传媒广告有限公司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《记住乡愁》第二季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北京丰德传媒广告有限公司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《无穷之路》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北京丰德传媒广告有限公司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《采棉时节》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《仙剑云之凡》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《我的小小美猴王》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《熊猫和开心球》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《熊出没之怪兽计划》</w:t>
            </w: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第一季、第二季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《巴啦啦小魔仙》第六季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《山河月明》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《骊歌行》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《祝卿好》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《尚食》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《我只喜欢你》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节目译制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《我们的新时代》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荒野星球（北京）科技有限公司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荒野星球国际探索影像展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京祖文化传媒（北京）有限公司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</w:t>
            </w: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伦敦短片节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友来友往国际文化传播（北京）有限公司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</w:t>
            </w: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里约短片节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咪咕文化科技有限公司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中外合拍纪录片《一叶茶千夜话》第二季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北京美摄网络科技有限公司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云端智能剪辑产品的开发及海外应用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北京凯声文化传媒有限责任公司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推进中华文化海外线上交流项目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北京中视雅韵文化传播中心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《这里是中国》第五季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北京丰德传媒广告有限公司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“触东方”海外社交媒体号群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升级建设“一带一路”文化发展国际联盟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（原“一带一路”媒体传播联盟）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“视听北京”--</w:t>
            </w: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精品节目全球展播季</w:t>
            </w: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（第二季）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《赤羽四千》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五洲传播出版传媒有限公司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《聆听大运河》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48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北京中外翻译咨询有限公司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海外传播与应用能力培养计划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中国广播电视国际经济技术合作总公司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北京国际广播电影电视展览会（</w:t>
            </w: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BIRTV2023)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微纪录片《北京潮流文化》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北京四达时代传媒有限公司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“北京视听走进东部非洲”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效能提升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新视国传（北京）文化发展有限公司</w:t>
            </w:r>
          </w:p>
        </w:tc>
        <w:tc>
          <w:tcPr>
            <w:tcW w:w="7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6"/>
                <w:szCs w:val="26"/>
              </w:rPr>
              <w:t>优秀传统文化和当代创新文化视听内容的海外新媒体融合传播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Y1ZjVlMWJmNmVmMmFmMzQyNmM3N2FmMzcxYWUifQ=="/>
  </w:docVars>
  <w:rsids>
    <w:rsidRoot w:val="00000000"/>
    <w:rsid w:val="0CAF61E6"/>
    <w:rsid w:val="30811120"/>
    <w:rsid w:val="6D0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2023-09-19T07:02:18Z</dcterms:created>
  <dc:creator>10712</dc:creator>
  <cp:lastModifiedBy>福少爷</cp:lastModifiedBy>
  <dcterms:modified xsi:type="dcterms:W3CDTF">2023-09-19T07:03:22Z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0E7AB4DBB1824BD6A59A65A98740496E_12</vt:lpwstr>
  </property>
</Properties>
</file>