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color w:val="000000"/>
          <w:sz w:val="44"/>
          <w:szCs w:val="44"/>
          <w:lang w:eastAsia="zh-CN" w:bidi="ar"/>
        </w:rPr>
      </w:pPr>
      <w:r>
        <w:rPr>
          <w:rFonts w:hint="eastAsia" w:ascii="黑体" w:hAnsi="宋体" w:eastAsia="黑体" w:cs="黑体"/>
          <w:b/>
          <w:color w:val="000000"/>
          <w:sz w:val="44"/>
          <w:szCs w:val="44"/>
          <w:lang w:bidi="ar"/>
        </w:rPr>
        <w:t>广播电视媒体融合典型案例推荐表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44"/>
        <w:gridCol w:w="213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70C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案例类别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综合案例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ind w:left="198" w:hanging="198" w:hangingChars="100"/>
              <w:jc w:val="left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专项案例（其中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主题主线宣传和内容融合生产传播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新型传播平台建设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     </w:t>
            </w:r>
          </w:p>
          <w:p>
            <w:pPr>
              <w:ind w:left="198" w:hanging="198" w:hangingChars="100"/>
              <w:jc w:val="left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业务模式和产业开发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体制机制改革和人才队伍建设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科技应用创新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70C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70C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省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市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联系人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联系电话</w:t>
            </w:r>
          </w:p>
        </w:tc>
        <w:tc>
          <w:tcPr>
            <w:tcW w:w="3044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手机号码</w:t>
            </w:r>
          </w:p>
        </w:tc>
        <w:tc>
          <w:tcPr>
            <w:tcW w:w="277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二维码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/网址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/>
                <w:color w:val="FF0000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950" w:type="dxa"/>
            <w:gridSpan w:val="3"/>
            <w:vAlign w:val="top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" w:eastAsia="zh-CN" w:bidi="ar"/>
              </w:rPr>
              <w:t>可在线观看或体验的、能够充分展示项目情况的二维码或网址链接，包括但不限于官方网站、APP、公众号或其他第三方平台，如项目本身无体验渠道可提供相关宣传内容链接。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案例简介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500-1000字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）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7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典型案例推荐表详细文字材料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（5000字以内）</w:t>
            </w:r>
          </w:p>
        </w:tc>
        <w:tc>
          <w:tcPr>
            <w:tcW w:w="7950" w:type="dxa"/>
            <w:gridSpan w:val="3"/>
          </w:tcPr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 xml:space="preserve">一、材料应包括以下要素：1.案例基本情况；2.创新做法与实践；3.创新工作中遇到的问题及破解办法；4.取得的成效与反响，需突出社会效益、经济效益及可持续性；5.可提炼的经验与启示及下一步发展计划。 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二、可以主题主线宣传和内容融合生产传播、新型传播平台建设、业务模式和产业开发、体制机制改革和人才队伍建设、科技应用创新等方面为重点撰写。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三、需提供充实、可量化的数据支撑，适当增加对比性数据，避免过多感性描述。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意见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rPr>
                <w:rFonts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53"/>
    <w:rsid w:val="00410B41"/>
    <w:rsid w:val="00451DF0"/>
    <w:rsid w:val="004A36AD"/>
    <w:rsid w:val="00FF1F53"/>
    <w:rsid w:val="0289711F"/>
    <w:rsid w:val="03772C39"/>
    <w:rsid w:val="039879D8"/>
    <w:rsid w:val="04A8153B"/>
    <w:rsid w:val="05813D29"/>
    <w:rsid w:val="0CB01C70"/>
    <w:rsid w:val="112F3A76"/>
    <w:rsid w:val="12844511"/>
    <w:rsid w:val="13E65CD5"/>
    <w:rsid w:val="17A072EC"/>
    <w:rsid w:val="183549D3"/>
    <w:rsid w:val="18444AC6"/>
    <w:rsid w:val="1DCA612A"/>
    <w:rsid w:val="27831136"/>
    <w:rsid w:val="31611389"/>
    <w:rsid w:val="35177678"/>
    <w:rsid w:val="35730FFF"/>
    <w:rsid w:val="3BEB0335"/>
    <w:rsid w:val="3FE330C6"/>
    <w:rsid w:val="41B91C31"/>
    <w:rsid w:val="426B55FB"/>
    <w:rsid w:val="42982357"/>
    <w:rsid w:val="4A657A5A"/>
    <w:rsid w:val="4DD733C4"/>
    <w:rsid w:val="5A3046BE"/>
    <w:rsid w:val="5D9F0213"/>
    <w:rsid w:val="5E724613"/>
    <w:rsid w:val="66046ADA"/>
    <w:rsid w:val="693A113D"/>
    <w:rsid w:val="6C5024B5"/>
    <w:rsid w:val="7BB95817"/>
    <w:rsid w:val="7CB73834"/>
    <w:rsid w:val="CF3DF4D8"/>
    <w:rsid w:val="FF3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2020-04-04T15:08:00Z</dcterms:created>
  <dc:creator>admin</dc:creator>
  <cp:lastModifiedBy>user</cp:lastModifiedBy>
  <cp:lastPrinted>2022-03-10T14:58:00Z</cp:lastPrinted>
  <dcterms:modified xsi:type="dcterms:W3CDTF">2022-03-10T17:01:00Z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372363CB312D4777BC1BCD77DEDACF0E</vt:lpwstr>
  </property>
</Properties>
</file>