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sz w:val="36"/>
          <w:szCs w:val="36"/>
          <w:highlight w:val="none"/>
        </w:rPr>
      </w:pPr>
      <w:bookmarkStart w:id="0" w:name="_Toc99301424"/>
      <w:bookmarkStart w:id="1" w:name="_Toc24225"/>
      <w:r>
        <w:rPr>
          <w:rFonts w:eastAsia="宋体"/>
          <w:b/>
          <w:sz w:val="36"/>
          <w:szCs w:val="36"/>
          <w:highlight w:val="none"/>
        </w:rPr>
        <w:t>采购需求</w:t>
      </w:r>
      <w:bookmarkEnd w:id="0"/>
      <w:bookmarkEnd w:id="1"/>
    </w:p>
    <w:p>
      <w:pPr>
        <w:spacing w:line="360" w:lineRule="auto"/>
        <w:contextualSpacing/>
        <w:rPr>
          <w:sz w:val="24"/>
          <w:highlight w:val="none"/>
        </w:rPr>
      </w:pPr>
    </w:p>
    <w:p>
      <w:pPr>
        <w:pStyle w:val="3"/>
        <w:spacing w:line="440" w:lineRule="exact"/>
        <w:ind w:firstLine="120" w:firstLineChars="50"/>
        <w:outlineLvl w:val="0"/>
        <w:rPr>
          <w:rFonts w:hAnsi="宋体" w:cs="宋体"/>
          <w:b/>
          <w:bCs/>
          <w:kern w:val="0"/>
          <w:highlight w:val="none"/>
        </w:rPr>
      </w:pPr>
      <w:r>
        <w:rPr>
          <w:rFonts w:hint="eastAsia" w:hAnsi="宋体" w:cs="宋体"/>
          <w:b/>
          <w:bCs/>
          <w:highlight w:val="none"/>
        </w:rPr>
        <w:t>第一包广播电视监测监管网络租用</w:t>
      </w:r>
      <w:r>
        <w:rPr>
          <w:rFonts w:hint="eastAsia" w:hAnsi="宋体" w:cs="宋体"/>
          <w:b/>
          <w:bCs/>
          <w:kern w:val="0"/>
          <w:highlight w:val="none"/>
        </w:rPr>
        <w:t>采购需求：</w:t>
      </w:r>
    </w:p>
    <w:p>
      <w:pPr>
        <w:numPr>
          <w:ilvl w:val="0"/>
          <w:numId w:val="1"/>
        </w:numPr>
        <w:spacing w:line="360" w:lineRule="auto"/>
        <w:contextualSpacing/>
        <w:rPr>
          <w:b/>
          <w:sz w:val="24"/>
          <w:highlight w:val="none"/>
        </w:rPr>
      </w:pPr>
      <w:r>
        <w:rPr>
          <w:b/>
          <w:sz w:val="24"/>
          <w:highlight w:val="none"/>
        </w:rPr>
        <w:t>采购标的</w:t>
      </w:r>
    </w:p>
    <w:p>
      <w:pPr>
        <w:tabs>
          <w:tab w:val="left" w:pos="420"/>
        </w:tabs>
        <w:spacing w:line="360" w:lineRule="auto"/>
        <w:ind w:firstLine="480" w:firstLineChars="200"/>
        <w:rPr>
          <w:bCs/>
          <w:sz w:val="24"/>
          <w:highlight w:val="none"/>
        </w:rPr>
      </w:pPr>
      <w:r>
        <w:rPr>
          <w:bCs/>
          <w:sz w:val="24"/>
          <w:highlight w:val="none"/>
        </w:rPr>
        <w:t xml:space="preserve">1. </w:t>
      </w:r>
      <w:r>
        <w:rPr>
          <w:rFonts w:hint="eastAsia"/>
          <w:bCs/>
          <w:sz w:val="24"/>
          <w:highlight w:val="none"/>
        </w:rPr>
        <w:t>采购标的</w:t>
      </w:r>
    </w:p>
    <w:p>
      <w:pPr>
        <w:tabs>
          <w:tab w:val="left" w:pos="420"/>
        </w:tabs>
        <w:spacing w:line="360" w:lineRule="auto"/>
        <w:ind w:firstLine="420" w:firstLineChars="200"/>
        <w:jc w:val="center"/>
        <w:rPr>
          <w:rFonts w:ascii="宋体" w:hAnsi="宋体" w:cs="宋体"/>
          <w:highlight w:val="none"/>
        </w:rPr>
      </w:pPr>
      <w:r>
        <w:rPr>
          <w:rFonts w:hint="eastAsia" w:ascii="宋体" w:hAnsi="宋体" w:cs="宋体"/>
          <w:highlight w:val="none"/>
        </w:rPr>
        <w:t>网络需求明细表</w:t>
      </w:r>
    </w:p>
    <w:tbl>
      <w:tblPr>
        <w:tblStyle w:val="7"/>
        <w:tblW w:w="8946" w:type="dxa"/>
        <w:tblInd w:w="93" w:type="dxa"/>
        <w:tblLayout w:type="fixed"/>
        <w:tblCellMar>
          <w:top w:w="0" w:type="dxa"/>
          <w:left w:w="108" w:type="dxa"/>
          <w:bottom w:w="0" w:type="dxa"/>
          <w:right w:w="108" w:type="dxa"/>
        </w:tblCellMar>
      </w:tblPr>
      <w:tblGrid>
        <w:gridCol w:w="724"/>
        <w:gridCol w:w="4536"/>
        <w:gridCol w:w="851"/>
        <w:gridCol w:w="850"/>
        <w:gridCol w:w="1985"/>
      </w:tblGrid>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453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专线用途</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带宽</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数量</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备注</w:t>
            </w:r>
          </w:p>
        </w:tc>
      </w:tr>
      <w:tr>
        <w:tblPrEx>
          <w:tblLayout w:type="fixed"/>
          <w:tblCellMar>
            <w:top w:w="0" w:type="dxa"/>
            <w:left w:w="108" w:type="dxa"/>
            <w:bottom w:w="0" w:type="dxa"/>
            <w:right w:w="108" w:type="dxa"/>
          </w:tblCellMar>
        </w:tblPrEx>
        <w:trPr>
          <w:trHeight w:val="454" w:hRule="atLeast"/>
        </w:trPr>
        <w:tc>
          <w:tcPr>
            <w:tcW w:w="724" w:type="dxa"/>
            <w:tcBorders>
              <w:top w:val="nil"/>
              <w:left w:val="single" w:color="auto" w:sz="4" w:space="0"/>
              <w:bottom w:val="nil"/>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c>
          <w:tcPr>
            <w:tcW w:w="4536" w:type="dxa"/>
            <w:vMerge w:val="restart"/>
            <w:tcBorders>
              <w:top w:val="nil"/>
              <w:left w:val="nil"/>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安全播出指挥调度</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63</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2</w:t>
            </w:r>
          </w:p>
        </w:tc>
        <w:tc>
          <w:tcPr>
            <w:tcW w:w="4536" w:type="dxa"/>
            <w:vMerge w:val="continue"/>
            <w:tcBorders>
              <w:left w:val="nil"/>
              <w:bottom w:val="single" w:color="auto" w:sz="4" w:space="0"/>
              <w:right w:val="single" w:color="auto" w:sz="4" w:space="0"/>
            </w:tcBorders>
            <w:vAlign w:val="center"/>
          </w:tcPr>
          <w:p>
            <w:pPr>
              <w:widowControl/>
              <w:rPr>
                <w:rFonts w:ascii="宋体" w:hAnsi="宋体" w:eastAsia="宋体" w:cs="宋体"/>
                <w:szCs w:val="21"/>
                <w:highlight w:val="none"/>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20M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9</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3</w:t>
            </w:r>
          </w:p>
        </w:tc>
        <w:tc>
          <w:tcPr>
            <w:tcW w:w="4536"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歌华一级分中心/分公司广播电视监测</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20M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15</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4</w:t>
            </w:r>
          </w:p>
        </w:tc>
        <w:tc>
          <w:tcPr>
            <w:tcW w:w="4536" w:type="dxa"/>
            <w:vMerge w:val="restart"/>
            <w:tcBorders>
              <w:top w:val="nil"/>
              <w:left w:val="nil"/>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区县融媒体广播电视监测</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12</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5</w:t>
            </w:r>
          </w:p>
        </w:tc>
        <w:tc>
          <w:tcPr>
            <w:tcW w:w="4536" w:type="dxa"/>
            <w:vMerge w:val="continue"/>
            <w:tcBorders>
              <w:left w:val="nil"/>
              <w:right w:val="single" w:color="auto" w:sz="4" w:space="0"/>
            </w:tcBorders>
            <w:vAlign w:val="center"/>
          </w:tcPr>
          <w:p>
            <w:pPr>
              <w:widowControl/>
              <w:rPr>
                <w:rFonts w:ascii="宋体" w:hAnsi="宋体" w:eastAsia="宋体" w:cs="宋体"/>
                <w:szCs w:val="21"/>
                <w:highlight w:val="none"/>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30M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6</w:t>
            </w:r>
          </w:p>
        </w:tc>
        <w:tc>
          <w:tcPr>
            <w:tcW w:w="4536" w:type="dxa"/>
            <w:vMerge w:val="continue"/>
            <w:tcBorders>
              <w:left w:val="nil"/>
              <w:bottom w:val="single" w:color="auto" w:sz="4" w:space="0"/>
              <w:right w:val="single" w:color="auto" w:sz="4" w:space="0"/>
            </w:tcBorders>
            <w:vAlign w:val="center"/>
          </w:tcPr>
          <w:p>
            <w:pPr>
              <w:widowControl/>
              <w:rPr>
                <w:rFonts w:ascii="宋体" w:hAnsi="宋体" w:eastAsia="宋体" w:cs="宋体"/>
                <w:szCs w:val="21"/>
                <w:highlight w:val="none"/>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50M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7</w:t>
            </w:r>
          </w:p>
        </w:tc>
        <w:tc>
          <w:tcPr>
            <w:tcW w:w="4536" w:type="dxa"/>
            <w:tcBorders>
              <w:left w:val="nil"/>
              <w:bottom w:val="single" w:color="auto" w:sz="4" w:space="0"/>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高山转播站广播电视监测</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100M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5</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8</w:t>
            </w:r>
          </w:p>
        </w:tc>
        <w:tc>
          <w:tcPr>
            <w:tcW w:w="4536" w:type="dxa"/>
            <w:vMerge w:val="restart"/>
            <w:tcBorders>
              <w:left w:val="nil"/>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北京广播电视台</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2</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9</w:t>
            </w:r>
          </w:p>
        </w:tc>
        <w:tc>
          <w:tcPr>
            <w:tcW w:w="4536" w:type="dxa"/>
            <w:vMerge w:val="continue"/>
            <w:tcBorders>
              <w:left w:val="nil"/>
              <w:bottom w:val="single" w:color="auto" w:sz="4" w:space="0"/>
              <w:right w:val="single" w:color="auto" w:sz="4" w:space="0"/>
            </w:tcBorders>
            <w:vAlign w:val="center"/>
          </w:tcPr>
          <w:p>
            <w:pPr>
              <w:widowControl/>
              <w:rPr>
                <w:rFonts w:ascii="宋体" w:hAnsi="宋体" w:eastAsia="宋体" w:cs="宋体"/>
                <w:szCs w:val="21"/>
                <w:highlight w:val="none"/>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400M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2</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10</w:t>
            </w:r>
          </w:p>
        </w:tc>
        <w:tc>
          <w:tcPr>
            <w:tcW w:w="4536" w:type="dxa"/>
            <w:tcBorders>
              <w:left w:val="nil"/>
              <w:bottom w:val="single" w:color="auto" w:sz="4" w:space="0"/>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鼎视平台播出信号监测</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450M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11</w:t>
            </w:r>
          </w:p>
        </w:tc>
        <w:tc>
          <w:tcPr>
            <w:tcW w:w="4536" w:type="dxa"/>
            <w:tcBorders>
              <w:left w:val="nil"/>
              <w:bottom w:val="single" w:color="auto" w:sz="4" w:space="0"/>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北广传媒移动电视播出信号监测</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45M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12</w:t>
            </w:r>
          </w:p>
        </w:tc>
        <w:tc>
          <w:tcPr>
            <w:tcW w:w="4536" w:type="dxa"/>
            <w:tcBorders>
              <w:left w:val="nil"/>
              <w:bottom w:val="single" w:color="auto" w:sz="4" w:space="0"/>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EMR网管线路</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2M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6</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13</w:t>
            </w:r>
          </w:p>
        </w:tc>
        <w:tc>
          <w:tcPr>
            <w:tcW w:w="4536" w:type="dxa"/>
            <w:tcBorders>
              <w:top w:val="single" w:color="auto" w:sz="4" w:space="0"/>
              <w:left w:val="nil"/>
              <w:bottom w:val="single" w:color="auto" w:sz="4" w:space="0"/>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信息共享线路</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4</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14</w:t>
            </w:r>
          </w:p>
        </w:tc>
        <w:tc>
          <w:tcPr>
            <w:tcW w:w="4536" w:type="dxa"/>
            <w:tcBorders>
              <w:left w:val="nil"/>
              <w:bottom w:val="single" w:color="auto" w:sz="4" w:space="0"/>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新媒体集团IPTV信号监测</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1000M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nil"/>
              <w:right w:val="single" w:color="auto" w:sz="4" w:space="0"/>
            </w:tcBorders>
            <w:shd w:val="clear" w:color="000000" w:fill="auto"/>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15</w:t>
            </w:r>
          </w:p>
        </w:tc>
        <w:tc>
          <w:tcPr>
            <w:tcW w:w="4536" w:type="dxa"/>
            <w:tcBorders>
              <w:top w:val="single" w:color="auto" w:sz="4" w:space="0"/>
              <w:left w:val="nil"/>
              <w:bottom w:val="single" w:color="auto" w:sz="4" w:space="0"/>
              <w:right w:val="single" w:color="auto" w:sz="4" w:space="0"/>
            </w:tcBorders>
            <w:shd w:val="clear" w:color="000000" w:fill="auto"/>
            <w:vAlign w:val="center"/>
          </w:tcPr>
          <w:p>
            <w:pPr>
              <w:widowControl/>
              <w:rPr>
                <w:rFonts w:ascii="宋体" w:hAnsi="宋体" w:eastAsia="宋体" w:cs="宋体"/>
                <w:szCs w:val="21"/>
                <w:highlight w:val="none"/>
              </w:rPr>
            </w:pPr>
            <w:r>
              <w:rPr>
                <w:rFonts w:hint="eastAsia" w:ascii="宋体" w:hAnsi="宋体" w:eastAsia="宋体" w:cs="宋体"/>
                <w:szCs w:val="21"/>
                <w:highlight w:val="none"/>
              </w:rPr>
              <w:t>政务云到副中心专线链路租用</w:t>
            </w:r>
          </w:p>
        </w:tc>
        <w:tc>
          <w:tcPr>
            <w:tcW w:w="851"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400M</w:t>
            </w:r>
          </w:p>
        </w:tc>
        <w:tc>
          <w:tcPr>
            <w:tcW w:w="850"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c>
          <w:tcPr>
            <w:tcW w:w="1985" w:type="dxa"/>
            <w:tcBorders>
              <w:top w:val="single" w:color="auto" w:sz="4" w:space="0"/>
              <w:left w:val="nil"/>
              <w:bottom w:val="single" w:color="auto" w:sz="4" w:space="0"/>
              <w:right w:val="single" w:color="auto" w:sz="4" w:space="0"/>
            </w:tcBorders>
            <w:shd w:val="clear" w:color="000000" w:fill="auto"/>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16</w:t>
            </w:r>
          </w:p>
        </w:tc>
        <w:tc>
          <w:tcPr>
            <w:tcW w:w="4536" w:type="dxa"/>
            <w:vMerge w:val="restart"/>
            <w:tcBorders>
              <w:top w:val="nil"/>
              <w:left w:val="nil"/>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总局指挥调度平台</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50M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17</w:t>
            </w:r>
          </w:p>
        </w:tc>
        <w:tc>
          <w:tcPr>
            <w:tcW w:w="4536" w:type="dxa"/>
            <w:vMerge w:val="continue"/>
            <w:tcBorders>
              <w:left w:val="nil"/>
              <w:bottom w:val="single" w:color="auto" w:sz="4" w:space="0"/>
              <w:right w:val="single" w:color="auto" w:sz="4" w:space="0"/>
            </w:tcBorders>
            <w:vAlign w:val="center"/>
          </w:tcPr>
          <w:p>
            <w:pPr>
              <w:widowControl/>
              <w:rPr>
                <w:rFonts w:ascii="宋体" w:hAnsi="宋体" w:eastAsia="宋体" w:cs="宋体"/>
                <w:szCs w:val="21"/>
                <w:highlight w:val="none"/>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100M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18</w:t>
            </w:r>
          </w:p>
        </w:tc>
        <w:tc>
          <w:tcPr>
            <w:tcW w:w="4536" w:type="dxa"/>
            <w:tcBorders>
              <w:left w:val="nil"/>
              <w:bottom w:val="single" w:color="auto" w:sz="4" w:space="0"/>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总局视频会议</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19</w:t>
            </w:r>
          </w:p>
        </w:tc>
        <w:tc>
          <w:tcPr>
            <w:tcW w:w="4536" w:type="dxa"/>
            <w:tcBorders>
              <w:left w:val="nil"/>
              <w:bottom w:val="single" w:color="auto" w:sz="4" w:space="0"/>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歌华总前端信号</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1800M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r>
        <w:tblPrEx>
          <w:tblLayout w:type="fixed"/>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20</w:t>
            </w:r>
          </w:p>
        </w:tc>
        <w:tc>
          <w:tcPr>
            <w:tcW w:w="4536" w:type="dxa"/>
            <w:tcBorders>
              <w:left w:val="nil"/>
              <w:bottom w:val="single" w:color="auto" w:sz="4" w:space="0"/>
              <w:right w:val="single" w:color="auto" w:sz="4" w:space="0"/>
            </w:tcBorders>
            <w:vAlign w:val="center"/>
          </w:tcPr>
          <w:p>
            <w:pPr>
              <w:widowControl/>
              <w:rPr>
                <w:rFonts w:ascii="宋体" w:hAnsi="宋体" w:eastAsia="宋体" w:cs="宋体"/>
                <w:szCs w:val="21"/>
                <w:highlight w:val="none"/>
              </w:rPr>
            </w:pPr>
            <w:r>
              <w:rPr>
                <w:rFonts w:hint="eastAsia" w:ascii="宋体" w:hAnsi="宋体" w:eastAsia="宋体" w:cs="宋体"/>
                <w:szCs w:val="21"/>
                <w:highlight w:val="none"/>
              </w:rPr>
              <w:t>歌华8K电视信号</w:t>
            </w:r>
          </w:p>
        </w:tc>
        <w:tc>
          <w:tcPr>
            <w:tcW w:w="851"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180M</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c>
          <w:tcPr>
            <w:tcW w:w="1985" w:type="dxa"/>
            <w:tcBorders>
              <w:top w:val="nil"/>
              <w:left w:val="nil"/>
              <w:bottom w:val="single" w:color="auto" w:sz="4" w:space="0"/>
              <w:right w:val="single" w:color="auto" w:sz="4" w:space="0"/>
            </w:tcBorders>
            <w:vAlign w:val="center"/>
          </w:tcPr>
          <w:p>
            <w:pPr>
              <w:widowControl/>
              <w:rPr>
                <w:rFonts w:ascii="宋体" w:hAnsi="宋体" w:eastAsia="宋体" w:cs="宋体"/>
                <w:szCs w:val="21"/>
                <w:highlight w:val="none"/>
              </w:rPr>
            </w:pPr>
          </w:p>
        </w:tc>
      </w:tr>
    </w:tbl>
    <w:p>
      <w:pPr>
        <w:spacing w:line="360" w:lineRule="auto"/>
        <w:contextualSpacing/>
        <w:rPr>
          <w:bCs/>
          <w:sz w:val="24"/>
          <w:highlight w:val="none"/>
        </w:rPr>
      </w:pPr>
    </w:p>
    <w:p>
      <w:pPr>
        <w:spacing w:line="360" w:lineRule="auto"/>
        <w:contextualSpacing/>
        <w:rPr>
          <w:bCs/>
          <w:sz w:val="24"/>
          <w:highlight w:val="none"/>
        </w:rPr>
      </w:pPr>
      <w:r>
        <w:rPr>
          <w:bCs/>
          <w:sz w:val="24"/>
          <w:highlight w:val="none"/>
        </w:rPr>
        <w:t>2. 项目背景/项目概述</w:t>
      </w:r>
    </w:p>
    <w:p>
      <w:pPr>
        <w:spacing w:line="360" w:lineRule="auto"/>
        <w:ind w:firstLine="482"/>
        <w:contextualSpacing/>
        <w:rPr>
          <w:b/>
          <w:sz w:val="24"/>
          <w:highlight w:val="none"/>
        </w:rPr>
      </w:pPr>
      <w:r>
        <w:rPr>
          <w:rFonts w:hint="eastAsia" w:ascii="宋体" w:hAnsi="宋体" w:cs="宋体"/>
          <w:highlight w:val="none"/>
        </w:rPr>
        <w:t>租用监测调度网络，支撑北京市广播电视监测中心广播电视监测、安全播出可视指挥调度、公共广播信号监测等业务正常开展。</w:t>
      </w:r>
    </w:p>
    <w:p>
      <w:pPr>
        <w:numPr>
          <w:ilvl w:val="0"/>
          <w:numId w:val="1"/>
        </w:numPr>
        <w:spacing w:line="360" w:lineRule="auto"/>
        <w:contextualSpacing/>
        <w:rPr>
          <w:b/>
          <w:sz w:val="24"/>
          <w:highlight w:val="none"/>
        </w:rPr>
      </w:pPr>
      <w:r>
        <w:rPr>
          <w:b/>
          <w:sz w:val="24"/>
          <w:highlight w:val="none"/>
        </w:rPr>
        <w:t>商务要求</w:t>
      </w:r>
    </w:p>
    <w:p>
      <w:pPr>
        <w:spacing w:line="360" w:lineRule="auto"/>
        <w:contextualSpacing/>
        <w:rPr>
          <w:i/>
          <w:sz w:val="24"/>
          <w:highlight w:val="none"/>
        </w:rPr>
      </w:pPr>
      <w:r>
        <w:rPr>
          <w:sz w:val="24"/>
          <w:highlight w:val="none"/>
        </w:rPr>
        <w:t>1. 交付（实施）的时间（期限）和地点（范围）</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（1）时间：服务期1年， 2024年7月1日至2025年6月30日。</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（2）地点：北京广播电视台、数字电视鼎视公司、各区融媒体中心、高山转播站等广播电视播出传输机构至北京市广播电视监测中心。</w:t>
      </w:r>
    </w:p>
    <w:p>
      <w:pPr>
        <w:spacing w:line="360" w:lineRule="auto"/>
        <w:contextualSpacing/>
        <w:rPr>
          <w:i/>
          <w:sz w:val="24"/>
          <w:highlight w:val="none"/>
        </w:rPr>
      </w:pPr>
    </w:p>
    <w:p>
      <w:pPr>
        <w:spacing w:line="360" w:lineRule="auto"/>
        <w:contextualSpacing/>
        <w:rPr>
          <w:sz w:val="24"/>
          <w:highlight w:val="none"/>
        </w:rPr>
      </w:pPr>
      <w:r>
        <w:rPr>
          <w:sz w:val="24"/>
          <w:highlight w:val="none"/>
        </w:rPr>
        <w:t>2. 付款条件（进度和方式）</w:t>
      </w:r>
    </w:p>
    <w:p>
      <w:pPr>
        <w:spacing w:line="360" w:lineRule="auto"/>
        <w:ind w:firstLine="420" w:firstLineChars="200"/>
        <w:contextualSpacing/>
        <w:rPr>
          <w:bCs/>
          <w:sz w:val="24"/>
          <w:highlight w:val="none"/>
        </w:rPr>
      </w:pPr>
      <w:r>
        <w:rPr>
          <w:rFonts w:hint="eastAsia" w:ascii="宋体" w:hAnsi="宋体"/>
          <w:szCs w:val="21"/>
          <w:highlight w:val="none"/>
        </w:rPr>
        <w:t>合同签订生效后5个工作日内，中标人向采购人支付合同总价的10%作为合同履约保证金，采购人收到履约保证金后10个工作日内支付80%合同款；中标人按照合同规定履行服务满2个月后，采购人支付20%合同尾款；合同期满后，若中标人完全履行了合同所规定的条款，经采购人验收合格后且无任何争议或遗留问题，在10个工作日内，采购人向中标人无息退还合同履约保证金。</w:t>
      </w:r>
    </w:p>
    <w:p>
      <w:pPr>
        <w:spacing w:line="360" w:lineRule="auto"/>
        <w:contextualSpacing/>
        <w:rPr>
          <w:b/>
          <w:i/>
          <w:sz w:val="24"/>
          <w:highlight w:val="none"/>
        </w:rPr>
      </w:pPr>
    </w:p>
    <w:p>
      <w:pPr>
        <w:numPr>
          <w:ilvl w:val="0"/>
          <w:numId w:val="1"/>
        </w:numPr>
        <w:spacing w:line="360" w:lineRule="auto"/>
        <w:contextualSpacing/>
        <w:rPr>
          <w:b/>
          <w:sz w:val="24"/>
          <w:highlight w:val="none"/>
        </w:rPr>
      </w:pPr>
      <w:r>
        <w:rPr>
          <w:rFonts w:hint="eastAsia"/>
          <w:b/>
          <w:sz w:val="24"/>
          <w:highlight w:val="none"/>
        </w:rPr>
        <w:t>服务</w:t>
      </w:r>
      <w:r>
        <w:rPr>
          <w:b/>
          <w:sz w:val="24"/>
          <w:highlight w:val="none"/>
        </w:rPr>
        <w:t>要求</w:t>
      </w:r>
    </w:p>
    <w:p>
      <w:pPr>
        <w:spacing w:after="120" w:line="360" w:lineRule="auto"/>
        <w:ind w:firstLine="465"/>
        <w:rPr>
          <w:rFonts w:ascii="宋体" w:hAnsi="宋体" w:cs="宋体"/>
          <w:szCs w:val="21"/>
          <w:highlight w:val="none"/>
        </w:rPr>
      </w:pPr>
      <w:r>
        <w:rPr>
          <w:rFonts w:hint="eastAsia" w:ascii="宋体" w:hAnsi="宋体" w:cs="宋体"/>
          <w:szCs w:val="21"/>
          <w:highlight w:val="none"/>
        </w:rPr>
        <w:t>投标人应提供详细的项目服务方案和实施方案，服务方案包括组网方式、网络带宽、接入方式、备份网络等。</w:t>
      </w:r>
    </w:p>
    <w:p>
      <w:pPr>
        <w:spacing w:line="360" w:lineRule="auto"/>
        <w:ind w:firstLine="465"/>
        <w:rPr>
          <w:rFonts w:ascii="宋体" w:hAnsi="宋体" w:cs="宋体"/>
          <w:b/>
          <w:szCs w:val="21"/>
          <w:highlight w:val="none"/>
        </w:rPr>
      </w:pPr>
      <w:r>
        <w:rPr>
          <w:rFonts w:hint="eastAsia" w:ascii="宋体" w:hAnsi="宋体" w:cs="宋体"/>
          <w:b/>
          <w:szCs w:val="21"/>
          <w:highlight w:val="none"/>
        </w:rPr>
        <w:t>（一）网络服务要求</w:t>
      </w:r>
    </w:p>
    <w:p>
      <w:pPr>
        <w:spacing w:line="360" w:lineRule="auto"/>
        <w:ind w:firstLine="465"/>
        <w:rPr>
          <w:rFonts w:ascii="宋体" w:hAnsi="宋体" w:cs="宋体"/>
          <w:szCs w:val="21"/>
          <w:highlight w:val="none"/>
        </w:rPr>
      </w:pPr>
      <w:r>
        <w:rPr>
          <w:rFonts w:hint="eastAsia" w:ascii="宋体" w:hAnsi="宋体" w:cs="宋体"/>
          <w:szCs w:val="21"/>
          <w:highlight w:val="none"/>
        </w:rPr>
        <w:t>（1）为广播电视监测、安全播出可视指挥调度提供不间断专网传输服务。</w:t>
      </w:r>
    </w:p>
    <w:p>
      <w:pPr>
        <w:spacing w:line="360" w:lineRule="auto"/>
        <w:ind w:firstLine="465"/>
        <w:rPr>
          <w:rFonts w:ascii="宋体" w:hAnsi="宋体" w:cs="宋体"/>
          <w:szCs w:val="21"/>
          <w:highlight w:val="none"/>
        </w:rPr>
      </w:pPr>
      <w:r>
        <w:rPr>
          <w:rFonts w:hint="eastAsia" w:ascii="宋体" w:hAnsi="宋体" w:cs="宋体"/>
          <w:szCs w:val="21"/>
          <w:highlight w:val="none"/>
        </w:rPr>
        <w:t>（2）主干光路和主要设备可用率大于99.99％以上,信号传输误码率、时延等应符合国家相关标准。</w:t>
      </w:r>
    </w:p>
    <w:p>
      <w:pPr>
        <w:spacing w:line="360" w:lineRule="auto"/>
        <w:ind w:firstLine="465"/>
        <w:rPr>
          <w:rFonts w:ascii="宋体" w:hAnsi="宋体" w:cs="宋体"/>
          <w:szCs w:val="21"/>
          <w:highlight w:val="none"/>
        </w:rPr>
      </w:pPr>
      <w:r>
        <w:rPr>
          <w:rFonts w:hint="eastAsia" w:ascii="宋体" w:hAnsi="宋体" w:cs="宋体"/>
          <w:szCs w:val="21"/>
          <w:highlight w:val="none"/>
        </w:rPr>
        <w:t>（3）因外部原因导致专线调整、维修、变更的，应提前3个工作日通知监测中心。</w:t>
      </w:r>
    </w:p>
    <w:p>
      <w:pPr>
        <w:spacing w:line="360" w:lineRule="auto"/>
        <w:ind w:firstLine="465"/>
        <w:rPr>
          <w:rFonts w:ascii="宋体" w:hAnsi="宋体" w:cs="宋体"/>
          <w:b/>
          <w:szCs w:val="21"/>
          <w:highlight w:val="none"/>
        </w:rPr>
      </w:pPr>
      <w:r>
        <w:rPr>
          <w:rFonts w:hint="eastAsia" w:ascii="宋体" w:hAnsi="宋体" w:cs="宋体"/>
          <w:b/>
          <w:szCs w:val="21"/>
          <w:highlight w:val="none"/>
        </w:rPr>
        <w:t>（二）项目实施团队</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投标人应为本项目实施配备24小时响应的技术人员，负责接收网络报障及排障，技术人员应具备2年以上专网维护工作经验，以及国家主管部门颁发的网络或通信专业中级</w:t>
      </w:r>
      <w:r>
        <w:rPr>
          <w:rFonts w:ascii="宋体" w:hAnsi="宋体" w:cs="宋体"/>
          <w:szCs w:val="21"/>
          <w:highlight w:val="none"/>
        </w:rPr>
        <w:t xml:space="preserve"> (</w:t>
      </w:r>
      <w:r>
        <w:rPr>
          <w:rFonts w:hint="eastAsia" w:ascii="宋体" w:hAnsi="宋体" w:cs="宋体"/>
          <w:szCs w:val="21"/>
          <w:highlight w:val="none"/>
        </w:rPr>
        <w:t>含</w:t>
      </w:r>
      <w:r>
        <w:rPr>
          <w:rFonts w:ascii="宋体" w:hAnsi="宋体" w:cs="宋体"/>
          <w:szCs w:val="21"/>
          <w:highlight w:val="none"/>
        </w:rPr>
        <w:t>)</w:t>
      </w:r>
      <w:r>
        <w:rPr>
          <w:rFonts w:hint="eastAsia" w:ascii="宋体" w:hAnsi="宋体" w:cs="宋体"/>
          <w:szCs w:val="21"/>
          <w:highlight w:val="none"/>
        </w:rPr>
        <w:t>以上工程师资格，熟悉PTN网络，经验丰富具备维护技能；并派专人负责售后服务。</w:t>
      </w:r>
    </w:p>
    <w:p>
      <w:pPr>
        <w:spacing w:line="360" w:lineRule="auto"/>
        <w:ind w:firstLine="420" w:firstLineChars="200"/>
        <w:rPr>
          <w:b/>
          <w:szCs w:val="21"/>
          <w:highlight w:val="none"/>
        </w:rPr>
      </w:pPr>
      <w:r>
        <w:rPr>
          <w:rFonts w:hint="eastAsia" w:ascii="黑体" w:hAnsi="黑体" w:eastAsia="黑体" w:cs="宋体"/>
          <w:szCs w:val="21"/>
          <w:highlight w:val="none"/>
        </w:rPr>
        <w:t>★</w:t>
      </w:r>
      <w:r>
        <w:rPr>
          <w:b/>
          <w:szCs w:val="21"/>
          <w:highlight w:val="none"/>
        </w:rPr>
        <w:t>提供1名驻场技术</w:t>
      </w:r>
      <w:r>
        <w:rPr>
          <w:rFonts w:hint="eastAsia"/>
          <w:b/>
          <w:szCs w:val="21"/>
          <w:highlight w:val="none"/>
        </w:rPr>
        <w:t>支持</w:t>
      </w:r>
      <w:r>
        <w:rPr>
          <w:b/>
          <w:szCs w:val="21"/>
          <w:highlight w:val="none"/>
        </w:rPr>
        <w:t>人员，每周5*8小时驻场技术支持</w:t>
      </w:r>
      <w:r>
        <w:rPr>
          <w:rFonts w:hint="eastAsia"/>
          <w:b/>
          <w:szCs w:val="21"/>
          <w:highlight w:val="none"/>
        </w:rPr>
        <w:t>，确保监测调度网络畅通。</w:t>
      </w:r>
    </w:p>
    <w:p>
      <w:pPr>
        <w:spacing w:line="360" w:lineRule="auto"/>
        <w:ind w:firstLine="465"/>
        <w:rPr>
          <w:rFonts w:ascii="宋体" w:hAnsi="宋体" w:cs="宋体"/>
          <w:b/>
          <w:szCs w:val="21"/>
          <w:highlight w:val="none"/>
        </w:rPr>
      </w:pPr>
      <w:r>
        <w:rPr>
          <w:rFonts w:hint="eastAsia" w:ascii="宋体" w:hAnsi="宋体" w:cs="宋体"/>
          <w:b/>
          <w:szCs w:val="21"/>
          <w:highlight w:val="none"/>
        </w:rPr>
        <w:t>（三）租用期内服务</w:t>
      </w:r>
    </w:p>
    <w:p>
      <w:pPr>
        <w:spacing w:line="360" w:lineRule="auto"/>
        <w:ind w:firstLine="465"/>
        <w:rPr>
          <w:rFonts w:ascii="宋体" w:hAnsi="宋体" w:cs="宋体"/>
          <w:szCs w:val="21"/>
          <w:highlight w:val="none"/>
        </w:rPr>
      </w:pPr>
      <w:r>
        <w:rPr>
          <w:rFonts w:hint="eastAsia" w:ascii="宋体" w:hAnsi="宋体" w:cs="宋体"/>
          <w:szCs w:val="21"/>
          <w:highlight w:val="none"/>
        </w:rPr>
        <w:t>投标人应提供本项目租用期内的详细服务方案，应包括组网方案、维护团队、应急处置等内容。</w:t>
      </w:r>
    </w:p>
    <w:p>
      <w:pPr>
        <w:spacing w:line="360" w:lineRule="auto"/>
        <w:ind w:firstLine="465"/>
        <w:rPr>
          <w:rFonts w:ascii="宋体" w:hAnsi="宋体" w:cs="宋体"/>
          <w:szCs w:val="21"/>
          <w:highlight w:val="none"/>
        </w:rPr>
      </w:pPr>
      <w:r>
        <w:rPr>
          <w:rFonts w:hint="eastAsia" w:ascii="宋体" w:hAnsi="宋体" w:cs="宋体"/>
          <w:szCs w:val="21"/>
          <w:highlight w:val="none"/>
        </w:rPr>
        <w:t>投标人应提供7×24热线人工值守以及响应电话，7×24全天候技术支持响应，当设备出现故障时，采购人在任何时候可以得到及时响应和故障及时解决。</w:t>
      </w:r>
    </w:p>
    <w:p>
      <w:pPr>
        <w:spacing w:line="360" w:lineRule="auto"/>
        <w:ind w:firstLine="465"/>
        <w:rPr>
          <w:rFonts w:ascii="宋体" w:hAnsi="宋体" w:cs="宋体"/>
          <w:b/>
          <w:szCs w:val="21"/>
          <w:highlight w:val="none"/>
        </w:rPr>
      </w:pPr>
      <w:r>
        <w:rPr>
          <w:rFonts w:hint="eastAsia" w:ascii="宋体" w:hAnsi="宋体" w:cs="宋体"/>
          <w:b/>
          <w:szCs w:val="21"/>
          <w:highlight w:val="none"/>
        </w:rPr>
        <w:t>1. 运行维护</w:t>
      </w:r>
    </w:p>
    <w:p>
      <w:pPr>
        <w:spacing w:line="360" w:lineRule="auto"/>
        <w:ind w:firstLine="540"/>
        <w:rPr>
          <w:rFonts w:ascii="宋体" w:hAnsi="宋体" w:cs="宋体"/>
          <w:szCs w:val="21"/>
          <w:highlight w:val="none"/>
        </w:rPr>
      </w:pPr>
      <w:r>
        <w:rPr>
          <w:rFonts w:hint="eastAsia" w:ascii="宋体" w:hAnsi="宋体" w:cs="宋体"/>
          <w:szCs w:val="21"/>
          <w:highlight w:val="none"/>
        </w:rPr>
        <w:t>投标人应提供《运行维护方案》，内容应详细具体、可行且具有针对性，租用期内应当按照采购人的要求，定期进行巡检，保障正常运行使用。</w:t>
      </w:r>
    </w:p>
    <w:p>
      <w:pPr>
        <w:spacing w:line="360" w:lineRule="auto"/>
        <w:rPr>
          <w:rFonts w:ascii="宋体" w:hAnsi="宋体" w:cs="宋体"/>
          <w:szCs w:val="21"/>
          <w:highlight w:val="none"/>
        </w:rPr>
      </w:pPr>
      <w:r>
        <w:rPr>
          <w:rFonts w:hint="eastAsia" w:ascii="宋体" w:hAnsi="宋体" w:cs="宋体"/>
          <w:szCs w:val="21"/>
          <w:highlight w:val="none"/>
        </w:rPr>
        <w:t xml:space="preserve">    （1）巡检维护</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每季度对广播电视监测、安全播出可视指挥调度专网进行巡检。包括对光路电路、传输线路的运行状况进行检查，巡检完成后向监测中心提交巡检报告。</w:t>
      </w:r>
    </w:p>
    <w:p>
      <w:pPr>
        <w:spacing w:line="360" w:lineRule="auto"/>
        <w:rPr>
          <w:rFonts w:ascii="宋体" w:hAnsi="宋体" w:cs="宋体"/>
          <w:szCs w:val="21"/>
          <w:highlight w:val="none"/>
        </w:rPr>
      </w:pPr>
      <w:r>
        <w:rPr>
          <w:rFonts w:hint="eastAsia" w:ascii="宋体" w:hAnsi="宋体" w:cs="宋体"/>
          <w:szCs w:val="21"/>
          <w:highlight w:val="none"/>
        </w:rPr>
        <w:t xml:space="preserve">    （2）巡检维护报告</w:t>
      </w:r>
    </w:p>
    <w:p>
      <w:pPr>
        <w:spacing w:line="360" w:lineRule="auto"/>
        <w:ind w:firstLine="540"/>
        <w:rPr>
          <w:rFonts w:ascii="宋体" w:hAnsi="宋体" w:cs="宋体"/>
          <w:szCs w:val="21"/>
          <w:highlight w:val="none"/>
        </w:rPr>
      </w:pPr>
      <w:r>
        <w:rPr>
          <w:rFonts w:hint="eastAsia" w:ascii="宋体" w:hAnsi="宋体" w:cs="宋体"/>
          <w:szCs w:val="21"/>
          <w:highlight w:val="none"/>
        </w:rPr>
        <w:t>巡检报告包括：巡检内容概述、网络保障情况、故障处理情况等。</w:t>
      </w:r>
    </w:p>
    <w:p>
      <w:pPr>
        <w:spacing w:line="360" w:lineRule="auto"/>
        <w:ind w:firstLine="540"/>
        <w:rPr>
          <w:rFonts w:ascii="宋体" w:hAnsi="宋体" w:cs="宋体"/>
          <w:szCs w:val="21"/>
          <w:highlight w:val="none"/>
        </w:rPr>
      </w:pPr>
      <w:r>
        <w:rPr>
          <w:rFonts w:hint="eastAsia" w:ascii="宋体" w:hAnsi="宋体" w:cs="宋体"/>
          <w:b/>
          <w:szCs w:val="21"/>
          <w:highlight w:val="none"/>
        </w:rPr>
        <w:t>2. 应急处置</w:t>
      </w:r>
    </w:p>
    <w:p>
      <w:pPr>
        <w:spacing w:line="360" w:lineRule="auto"/>
        <w:ind w:firstLine="540"/>
        <w:rPr>
          <w:rFonts w:ascii="宋体" w:hAnsi="宋体" w:cs="宋体"/>
          <w:szCs w:val="21"/>
          <w:highlight w:val="none"/>
        </w:rPr>
      </w:pPr>
      <w:r>
        <w:rPr>
          <w:rFonts w:hint="eastAsia" w:ascii="宋体" w:hAnsi="宋体" w:cs="宋体"/>
          <w:szCs w:val="21"/>
          <w:highlight w:val="none"/>
        </w:rPr>
        <w:t>投标人应提供详细具体可行且具有针对性的《应急预案》，确保设备突发故障得到及时有效处置，保障网络安全稳定运行。</w:t>
      </w:r>
    </w:p>
    <w:p>
      <w:pPr>
        <w:spacing w:line="360" w:lineRule="auto"/>
        <w:ind w:firstLine="540"/>
        <w:rPr>
          <w:rFonts w:ascii="宋体" w:hAnsi="宋体" w:cs="宋体"/>
          <w:szCs w:val="21"/>
          <w:highlight w:val="none"/>
        </w:rPr>
      </w:pPr>
      <w:r>
        <w:rPr>
          <w:rFonts w:hint="eastAsia" w:ascii="宋体" w:hAnsi="宋体" w:cs="宋体"/>
          <w:szCs w:val="21"/>
          <w:highlight w:val="none"/>
        </w:rPr>
        <w:t>《应急预案》包括应急处置团队、成员职责分工及联系电话、应急处置流程、抢修时限等内容。</w:t>
      </w:r>
    </w:p>
    <w:p>
      <w:pPr>
        <w:spacing w:line="360" w:lineRule="auto"/>
        <w:ind w:firstLine="540"/>
        <w:rPr>
          <w:rFonts w:ascii="宋体" w:hAnsi="宋体" w:cs="宋体"/>
          <w:szCs w:val="21"/>
          <w:highlight w:val="none"/>
        </w:rPr>
      </w:pPr>
      <w:r>
        <w:rPr>
          <w:rFonts w:hint="eastAsia" w:ascii="宋体" w:hAnsi="宋体" w:cs="宋体"/>
          <w:szCs w:val="21"/>
          <w:highlight w:val="none"/>
        </w:rPr>
        <w:t>如遇机房改造线路升级或重大活动线路保障，须以电子或传真形式通知监测中心。</w:t>
      </w:r>
    </w:p>
    <w:p>
      <w:pPr>
        <w:spacing w:line="360" w:lineRule="auto"/>
        <w:ind w:firstLine="540"/>
        <w:rPr>
          <w:rFonts w:ascii="宋体" w:hAnsi="宋体" w:cs="宋体"/>
          <w:szCs w:val="21"/>
          <w:highlight w:val="none"/>
        </w:rPr>
      </w:pPr>
      <w:r>
        <w:rPr>
          <w:rFonts w:hint="eastAsia" w:ascii="宋体" w:hAnsi="宋体" w:cs="宋体"/>
          <w:szCs w:val="21"/>
          <w:highlight w:val="none"/>
        </w:rPr>
        <w:t>突发情况造成专线中断，须在2小时内确定故障点并到达事故现场，4小时内恢复专线传输，及时报告监测中心并在2个工作日内向监测中心提交详细故障处理报告。</w:t>
      </w:r>
    </w:p>
    <w:p>
      <w:pPr>
        <w:spacing w:line="360" w:lineRule="auto"/>
        <w:ind w:firstLine="465"/>
        <w:rPr>
          <w:rFonts w:ascii="宋体" w:hAnsi="宋体" w:cs="宋体"/>
          <w:b/>
          <w:szCs w:val="21"/>
          <w:highlight w:val="none"/>
        </w:rPr>
      </w:pPr>
      <w:r>
        <w:rPr>
          <w:rFonts w:hint="eastAsia" w:ascii="宋体" w:hAnsi="宋体" w:cs="宋体"/>
          <w:b/>
          <w:szCs w:val="21"/>
          <w:highlight w:val="none"/>
        </w:rPr>
        <w:t>3. 备品备件</w:t>
      </w:r>
    </w:p>
    <w:p>
      <w:pPr>
        <w:spacing w:line="360" w:lineRule="auto"/>
        <w:ind w:firstLine="525" w:firstLineChars="250"/>
        <w:contextualSpacing/>
        <w:rPr>
          <w:rFonts w:ascii="宋体" w:hAnsi="宋体" w:cs="宋体"/>
          <w:szCs w:val="21"/>
          <w:highlight w:val="none"/>
          <w:lang w:val="en-GB"/>
        </w:rPr>
      </w:pPr>
      <w:r>
        <w:rPr>
          <w:rFonts w:hint="eastAsia" w:ascii="宋体" w:hAnsi="宋体" w:cs="宋体"/>
          <w:szCs w:val="21"/>
          <w:highlight w:val="none"/>
          <w:lang w:val="en-GB"/>
        </w:rPr>
        <w:t>应具有确保专线畅通所需关键设备的备品备件及维护工具。</w:t>
      </w:r>
    </w:p>
    <w:p>
      <w:pPr>
        <w:spacing w:line="360" w:lineRule="auto"/>
        <w:ind w:firstLine="525" w:firstLineChars="250"/>
        <w:contextualSpacing/>
        <w:rPr>
          <w:rFonts w:ascii="宋体" w:hAnsi="宋体" w:cs="宋体"/>
          <w:szCs w:val="21"/>
          <w:highlight w:val="none"/>
          <w:lang w:val="en-GB"/>
        </w:rPr>
      </w:pPr>
    </w:p>
    <w:p>
      <w:pPr>
        <w:numPr>
          <w:ilvl w:val="0"/>
          <w:numId w:val="1"/>
        </w:numPr>
        <w:spacing w:line="360" w:lineRule="auto"/>
        <w:contextualSpacing/>
        <w:rPr>
          <w:b/>
          <w:sz w:val="24"/>
          <w:highlight w:val="none"/>
        </w:rPr>
      </w:pPr>
      <w:r>
        <w:rPr>
          <w:b/>
          <w:sz w:val="24"/>
          <w:highlight w:val="none"/>
        </w:rPr>
        <w:t>验收标准</w:t>
      </w:r>
    </w:p>
    <w:p>
      <w:pPr>
        <w:spacing w:line="360" w:lineRule="auto"/>
        <w:ind w:left="500"/>
        <w:rPr>
          <w:rFonts w:ascii="宋体" w:hAnsi="宋体" w:cs="宋体"/>
          <w:szCs w:val="21"/>
          <w:highlight w:val="none"/>
          <w:lang w:val="en-GB"/>
        </w:rPr>
      </w:pPr>
      <w:r>
        <w:rPr>
          <w:rFonts w:hint="eastAsia" w:ascii="宋体" w:hAnsi="宋体" w:cs="宋体"/>
          <w:szCs w:val="21"/>
          <w:highlight w:val="none"/>
          <w:lang w:val="en-GB"/>
        </w:rPr>
        <w:t>1.投标人提供的网络资源符合招标文件要求。</w:t>
      </w:r>
    </w:p>
    <w:p>
      <w:pPr>
        <w:spacing w:line="360" w:lineRule="auto"/>
        <w:ind w:left="500"/>
        <w:rPr>
          <w:rFonts w:ascii="宋体" w:hAnsi="宋体" w:cs="宋体"/>
          <w:szCs w:val="21"/>
          <w:highlight w:val="none"/>
          <w:lang w:val="en-GB"/>
        </w:rPr>
      </w:pPr>
      <w:r>
        <w:rPr>
          <w:rFonts w:hint="eastAsia" w:ascii="宋体" w:hAnsi="宋体" w:cs="宋体"/>
          <w:szCs w:val="21"/>
          <w:highlight w:val="none"/>
          <w:lang w:val="en-GB"/>
        </w:rPr>
        <w:t>2.服务期期满。</w:t>
      </w:r>
    </w:p>
    <w:p>
      <w:pPr>
        <w:spacing w:line="360" w:lineRule="auto"/>
        <w:ind w:left="500"/>
        <w:rPr>
          <w:rFonts w:ascii="宋体" w:hAnsi="宋体" w:cs="宋体"/>
          <w:szCs w:val="21"/>
          <w:highlight w:val="none"/>
          <w:lang w:val="en-GB"/>
        </w:rPr>
      </w:pPr>
      <w:r>
        <w:rPr>
          <w:rFonts w:hint="eastAsia" w:ascii="宋体" w:hAnsi="宋体" w:cs="宋体"/>
          <w:szCs w:val="21"/>
          <w:highlight w:val="none"/>
          <w:lang w:val="en-GB"/>
        </w:rPr>
        <w:t>3.相关报告齐全。</w:t>
      </w:r>
    </w:p>
    <w:p>
      <w:pPr>
        <w:pStyle w:val="3"/>
        <w:spacing w:line="440" w:lineRule="exact"/>
        <w:ind w:firstLine="0"/>
        <w:outlineLvl w:val="0"/>
        <w:rPr>
          <w:rFonts w:hAnsi="宋体" w:cs="宋体"/>
          <w:b/>
          <w:bCs/>
          <w:kern w:val="0"/>
          <w:highlight w:val="none"/>
        </w:rPr>
      </w:pPr>
    </w:p>
    <w:p>
      <w:pPr>
        <w:pStyle w:val="3"/>
        <w:spacing w:line="440" w:lineRule="exact"/>
        <w:ind w:firstLine="0"/>
        <w:outlineLvl w:val="0"/>
        <w:rPr>
          <w:rFonts w:hAnsi="宋体" w:cs="宋体"/>
          <w:b/>
          <w:bCs/>
          <w:kern w:val="0"/>
          <w:highlight w:val="none"/>
        </w:rPr>
      </w:pPr>
      <w:r>
        <w:rPr>
          <w:rFonts w:hint="eastAsia" w:hAnsi="宋体" w:cs="宋体"/>
          <w:b/>
          <w:bCs/>
          <w:highlight w:val="none"/>
        </w:rPr>
        <w:t>第二包政务云租用</w:t>
      </w:r>
      <w:r>
        <w:rPr>
          <w:rFonts w:hint="eastAsia" w:hAnsi="宋体" w:cs="宋体"/>
          <w:b/>
          <w:bCs/>
          <w:kern w:val="0"/>
          <w:highlight w:val="none"/>
        </w:rPr>
        <w:t>采购需求：</w:t>
      </w:r>
    </w:p>
    <w:p>
      <w:pPr>
        <w:pStyle w:val="10"/>
        <w:numPr>
          <w:ilvl w:val="0"/>
          <w:numId w:val="2"/>
        </w:numPr>
        <w:spacing w:line="360" w:lineRule="auto"/>
        <w:ind w:firstLineChars="0"/>
        <w:contextualSpacing/>
        <w:rPr>
          <w:rFonts w:ascii="Times New Roman" w:hAnsi="Times New Roman"/>
          <w:b/>
          <w:sz w:val="24"/>
          <w:szCs w:val="24"/>
          <w:highlight w:val="none"/>
        </w:rPr>
      </w:pPr>
      <w:r>
        <w:rPr>
          <w:rFonts w:ascii="Times New Roman" w:hAnsi="Times New Roman"/>
          <w:b/>
          <w:sz w:val="24"/>
          <w:szCs w:val="24"/>
          <w:highlight w:val="none"/>
        </w:rPr>
        <w:t>采购标的</w:t>
      </w:r>
    </w:p>
    <w:p>
      <w:pPr>
        <w:spacing w:line="360" w:lineRule="auto"/>
        <w:contextualSpacing/>
        <w:rPr>
          <w:bCs/>
          <w:sz w:val="24"/>
          <w:highlight w:val="none"/>
        </w:rPr>
      </w:pPr>
      <w:r>
        <w:rPr>
          <w:bCs/>
          <w:sz w:val="24"/>
          <w:highlight w:val="none"/>
        </w:rPr>
        <w:t>1. 采购标的</w:t>
      </w:r>
    </w:p>
    <w:p>
      <w:pPr>
        <w:spacing w:after="120" w:line="360" w:lineRule="auto"/>
        <w:rPr>
          <w:rFonts w:ascii="宋体" w:hAnsi="宋体" w:cs="宋体"/>
          <w:b/>
          <w:szCs w:val="21"/>
          <w:highlight w:val="none"/>
        </w:rPr>
      </w:pPr>
      <w:r>
        <w:rPr>
          <w:rFonts w:hint="eastAsia" w:ascii="宋体" w:hAnsi="宋体" w:cs="宋体"/>
          <w:b/>
          <w:szCs w:val="21"/>
          <w:highlight w:val="none"/>
        </w:rPr>
        <w:t>（1）政务云基础服务</w:t>
      </w:r>
    </w:p>
    <w:tbl>
      <w:tblPr>
        <w:tblStyle w:val="7"/>
        <w:tblW w:w="8506" w:type="dxa"/>
        <w:tblInd w:w="-34" w:type="dxa"/>
        <w:tblLayout w:type="fixed"/>
        <w:tblCellMar>
          <w:top w:w="0" w:type="dxa"/>
          <w:left w:w="108" w:type="dxa"/>
          <w:bottom w:w="0" w:type="dxa"/>
          <w:right w:w="108" w:type="dxa"/>
        </w:tblCellMar>
      </w:tblPr>
      <w:tblGrid>
        <w:gridCol w:w="851"/>
        <w:gridCol w:w="5528"/>
        <w:gridCol w:w="1134"/>
        <w:gridCol w:w="993"/>
      </w:tblGrid>
      <w:tr>
        <w:tblPrEx>
          <w:tblLayout w:type="fixed"/>
          <w:tblCellMar>
            <w:top w:w="0" w:type="dxa"/>
            <w:left w:w="108" w:type="dxa"/>
            <w:bottom w:w="0" w:type="dxa"/>
            <w:right w:w="108" w:type="dxa"/>
          </w:tblCellMar>
        </w:tblPrEx>
        <w:trPr>
          <w:trHeight w:val="600"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Arial"/>
                <w:b/>
                <w:szCs w:val="21"/>
                <w:highlight w:val="none"/>
              </w:rPr>
            </w:pPr>
            <w:r>
              <w:rPr>
                <w:rFonts w:hint="eastAsia" w:ascii="宋体" w:hAnsi="宋体" w:eastAsia="宋体" w:cs="Arial"/>
                <w:b/>
                <w:szCs w:val="21"/>
                <w:highlight w:val="none"/>
              </w:rPr>
              <w:t>序号</w:t>
            </w:r>
          </w:p>
        </w:tc>
        <w:tc>
          <w:tcPr>
            <w:tcW w:w="552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Arial"/>
                <w:b/>
                <w:szCs w:val="21"/>
                <w:highlight w:val="none"/>
              </w:rPr>
            </w:pPr>
            <w:r>
              <w:rPr>
                <w:rFonts w:hint="eastAsia" w:ascii="宋体" w:hAnsi="宋体" w:eastAsia="宋体" w:cs="Arial"/>
                <w:b/>
                <w:szCs w:val="21"/>
                <w:highlight w:val="none"/>
              </w:rPr>
              <w:t>服务内容</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Arial"/>
                <w:b/>
                <w:szCs w:val="21"/>
                <w:highlight w:val="none"/>
              </w:rPr>
            </w:pPr>
            <w:r>
              <w:rPr>
                <w:rFonts w:hint="eastAsia" w:ascii="宋体" w:hAnsi="宋体" w:eastAsia="宋体" w:cs="Arial"/>
                <w:b/>
                <w:szCs w:val="21"/>
                <w:highlight w:val="none"/>
              </w:rPr>
              <w:t>单位</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Arial"/>
                <w:b/>
                <w:szCs w:val="21"/>
                <w:highlight w:val="none"/>
              </w:rPr>
            </w:pPr>
            <w:r>
              <w:rPr>
                <w:rFonts w:hint="eastAsia" w:ascii="宋体" w:hAnsi="宋体" w:eastAsia="宋体" w:cs="Arial"/>
                <w:b/>
                <w:szCs w:val="21"/>
                <w:highlight w:val="none"/>
              </w:rPr>
              <w:t>数量</w:t>
            </w:r>
          </w:p>
        </w:tc>
      </w:tr>
      <w:tr>
        <w:tblPrEx>
          <w:tblLayout w:type="fixed"/>
          <w:tblCellMar>
            <w:top w:w="0" w:type="dxa"/>
            <w:left w:w="108" w:type="dxa"/>
            <w:bottom w:w="0" w:type="dxa"/>
            <w:right w:w="108" w:type="dxa"/>
          </w:tblCellMar>
        </w:tblPrEx>
        <w:trPr>
          <w:trHeight w:val="600"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1</w:t>
            </w:r>
          </w:p>
        </w:tc>
        <w:tc>
          <w:tcPr>
            <w:tcW w:w="5528" w:type="dxa"/>
            <w:tcBorders>
              <w:top w:val="single" w:color="auto" w:sz="4" w:space="0"/>
              <w:left w:val="nil"/>
              <w:bottom w:val="single" w:color="auto" w:sz="4" w:space="0"/>
              <w:right w:val="single" w:color="auto" w:sz="4" w:space="0"/>
            </w:tcBorders>
            <w:vAlign w:val="center"/>
          </w:tcPr>
          <w:p>
            <w:pPr>
              <w:widowControl/>
              <w:rPr>
                <w:rFonts w:ascii="宋体" w:hAnsi="宋体" w:eastAsia="宋体" w:cs="Arial"/>
                <w:szCs w:val="21"/>
                <w:highlight w:val="none"/>
              </w:rPr>
            </w:pPr>
            <w:r>
              <w:rPr>
                <w:rFonts w:hint="eastAsia" w:ascii="宋体" w:hAnsi="宋体" w:eastAsia="宋体" w:cs="Arial"/>
                <w:szCs w:val="21"/>
                <w:highlight w:val="none"/>
              </w:rPr>
              <w:t>X86云主机服务 vCPU</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核</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218</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2</w:t>
            </w:r>
          </w:p>
        </w:tc>
        <w:tc>
          <w:tcPr>
            <w:tcW w:w="5528" w:type="dxa"/>
            <w:tcBorders>
              <w:top w:val="nil"/>
              <w:left w:val="nil"/>
              <w:bottom w:val="single" w:color="auto" w:sz="4" w:space="0"/>
              <w:right w:val="single" w:color="auto" w:sz="4" w:space="0"/>
            </w:tcBorders>
            <w:vAlign w:val="center"/>
          </w:tcPr>
          <w:p>
            <w:pPr>
              <w:widowControl/>
              <w:rPr>
                <w:rFonts w:ascii="宋体" w:hAnsi="宋体" w:eastAsia="宋体" w:cs="Arial"/>
                <w:szCs w:val="21"/>
                <w:highlight w:val="none"/>
              </w:rPr>
            </w:pPr>
            <w:r>
              <w:rPr>
                <w:rFonts w:hint="eastAsia" w:ascii="宋体" w:hAnsi="宋体" w:eastAsia="宋体" w:cs="Arial"/>
                <w:szCs w:val="21"/>
                <w:highlight w:val="none"/>
              </w:rPr>
              <w:t>X86云主机服务 内存</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GB</w:t>
            </w:r>
          </w:p>
        </w:tc>
        <w:tc>
          <w:tcPr>
            <w:tcW w:w="9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800</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3</w:t>
            </w:r>
          </w:p>
        </w:tc>
        <w:tc>
          <w:tcPr>
            <w:tcW w:w="5528" w:type="dxa"/>
            <w:tcBorders>
              <w:top w:val="nil"/>
              <w:left w:val="nil"/>
              <w:bottom w:val="single" w:color="auto" w:sz="4" w:space="0"/>
              <w:right w:val="single" w:color="auto" w:sz="4" w:space="0"/>
            </w:tcBorders>
            <w:vAlign w:val="center"/>
          </w:tcPr>
          <w:p>
            <w:pPr>
              <w:widowControl/>
              <w:rPr>
                <w:rFonts w:ascii="宋体" w:hAnsi="宋体" w:eastAsia="宋体" w:cs="Arial"/>
                <w:szCs w:val="21"/>
                <w:highlight w:val="none"/>
              </w:rPr>
            </w:pPr>
            <w:r>
              <w:rPr>
                <w:rFonts w:hint="eastAsia" w:ascii="宋体" w:hAnsi="宋体" w:eastAsia="宋体" w:cs="Arial"/>
                <w:szCs w:val="21"/>
                <w:highlight w:val="none"/>
              </w:rPr>
              <w:t>X86物理服务器租用服务,</w:t>
            </w:r>
            <w:r>
              <w:rPr>
                <w:rFonts w:hint="eastAsia" w:ascii="Times New Roman" w:hAnsi="Times New Roman" w:eastAsia="宋体" w:cs="Times New Roman"/>
                <w:highlight w:val="none"/>
              </w:rPr>
              <w:t xml:space="preserve"> </w:t>
            </w:r>
            <w:r>
              <w:rPr>
                <w:rFonts w:hint="eastAsia" w:ascii="宋体" w:hAnsi="宋体" w:eastAsia="宋体" w:cs="Arial"/>
                <w:szCs w:val="21"/>
                <w:highlight w:val="none"/>
              </w:rPr>
              <w:t>2 路12 核（主频≥2.0Ghz），64G内存，2 块600G SAS 硬盘,2 个HBA 卡，2 个万兆端口</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台</w:t>
            </w:r>
          </w:p>
        </w:tc>
        <w:tc>
          <w:tcPr>
            <w:tcW w:w="9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10</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4</w:t>
            </w:r>
          </w:p>
        </w:tc>
        <w:tc>
          <w:tcPr>
            <w:tcW w:w="5528" w:type="dxa"/>
            <w:tcBorders>
              <w:top w:val="nil"/>
              <w:left w:val="nil"/>
              <w:bottom w:val="single" w:color="auto" w:sz="4" w:space="0"/>
              <w:right w:val="single" w:color="auto" w:sz="4" w:space="0"/>
            </w:tcBorders>
            <w:vAlign w:val="center"/>
          </w:tcPr>
          <w:p>
            <w:pPr>
              <w:widowControl/>
              <w:rPr>
                <w:rFonts w:ascii="宋体" w:hAnsi="宋体" w:eastAsia="宋体" w:cs="Arial"/>
                <w:szCs w:val="21"/>
                <w:highlight w:val="none"/>
              </w:rPr>
            </w:pPr>
            <w:r>
              <w:rPr>
                <w:rFonts w:hint="eastAsia" w:ascii="宋体" w:hAnsi="宋体" w:eastAsia="宋体" w:cs="Arial"/>
                <w:szCs w:val="21"/>
                <w:highlight w:val="none"/>
              </w:rPr>
              <w:t>图形图像计算服务,</w:t>
            </w:r>
            <w:r>
              <w:rPr>
                <w:rFonts w:hint="eastAsia" w:ascii="Times New Roman" w:hAnsi="Times New Roman" w:eastAsia="宋体" w:cs="Times New Roman"/>
                <w:highlight w:val="none"/>
              </w:rPr>
              <w:t xml:space="preserve"> </w:t>
            </w:r>
            <w:r>
              <w:rPr>
                <w:rFonts w:hint="eastAsia" w:ascii="宋体" w:hAnsi="宋体" w:eastAsia="宋体" w:cs="Arial"/>
                <w:szCs w:val="21"/>
                <w:highlight w:val="none"/>
              </w:rPr>
              <w:t>GPU显存不低于16G，最大单精度浮点计算能力不低于7TFLOPS，最大双精度浮点计算能力0.2TFLOPS</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块</w:t>
            </w:r>
          </w:p>
        </w:tc>
        <w:tc>
          <w:tcPr>
            <w:tcW w:w="9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1</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5</w:t>
            </w:r>
          </w:p>
        </w:tc>
        <w:tc>
          <w:tcPr>
            <w:tcW w:w="5528" w:type="dxa"/>
            <w:tcBorders>
              <w:top w:val="nil"/>
              <w:left w:val="nil"/>
              <w:bottom w:val="single" w:color="auto" w:sz="4" w:space="0"/>
              <w:right w:val="single" w:color="auto" w:sz="4" w:space="0"/>
            </w:tcBorders>
            <w:vAlign w:val="center"/>
          </w:tcPr>
          <w:p>
            <w:pPr>
              <w:widowControl/>
              <w:rPr>
                <w:rFonts w:ascii="宋体" w:hAnsi="宋体" w:eastAsia="宋体" w:cs="Arial"/>
                <w:szCs w:val="21"/>
                <w:highlight w:val="none"/>
              </w:rPr>
            </w:pPr>
            <w:r>
              <w:rPr>
                <w:rFonts w:hint="eastAsia" w:ascii="宋体" w:hAnsi="宋体" w:eastAsia="宋体" w:cs="Arial"/>
                <w:szCs w:val="21"/>
                <w:highlight w:val="none"/>
              </w:rPr>
              <w:t>存储服务-高性能</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GB</w:t>
            </w:r>
          </w:p>
        </w:tc>
        <w:tc>
          <w:tcPr>
            <w:tcW w:w="9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8700</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6</w:t>
            </w:r>
          </w:p>
        </w:tc>
        <w:tc>
          <w:tcPr>
            <w:tcW w:w="5528" w:type="dxa"/>
            <w:tcBorders>
              <w:top w:val="nil"/>
              <w:left w:val="nil"/>
              <w:bottom w:val="single" w:color="auto" w:sz="4" w:space="0"/>
              <w:right w:val="single" w:color="auto" w:sz="4" w:space="0"/>
            </w:tcBorders>
            <w:vAlign w:val="center"/>
          </w:tcPr>
          <w:p>
            <w:pPr>
              <w:widowControl/>
              <w:rPr>
                <w:rFonts w:ascii="宋体" w:hAnsi="宋体" w:eastAsia="宋体" w:cs="Arial"/>
                <w:szCs w:val="21"/>
                <w:highlight w:val="none"/>
              </w:rPr>
            </w:pPr>
            <w:r>
              <w:rPr>
                <w:rFonts w:hint="eastAsia" w:ascii="宋体" w:hAnsi="宋体" w:eastAsia="宋体" w:cs="Arial"/>
                <w:szCs w:val="21"/>
                <w:highlight w:val="none"/>
              </w:rPr>
              <w:t>存储服务-普通</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GB</w:t>
            </w:r>
          </w:p>
        </w:tc>
        <w:tc>
          <w:tcPr>
            <w:tcW w:w="9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94230</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7</w:t>
            </w:r>
          </w:p>
        </w:tc>
        <w:tc>
          <w:tcPr>
            <w:tcW w:w="5528" w:type="dxa"/>
            <w:tcBorders>
              <w:top w:val="nil"/>
              <w:left w:val="nil"/>
              <w:bottom w:val="single" w:color="auto" w:sz="4" w:space="0"/>
              <w:right w:val="single" w:color="auto" w:sz="4" w:space="0"/>
            </w:tcBorders>
            <w:vAlign w:val="center"/>
          </w:tcPr>
          <w:p>
            <w:pPr>
              <w:widowControl/>
              <w:rPr>
                <w:rFonts w:ascii="宋体" w:hAnsi="宋体" w:eastAsia="宋体" w:cs="Arial"/>
                <w:szCs w:val="21"/>
                <w:highlight w:val="none"/>
              </w:rPr>
            </w:pPr>
            <w:r>
              <w:rPr>
                <w:rFonts w:hint="eastAsia" w:ascii="宋体" w:hAnsi="宋体" w:eastAsia="宋体" w:cs="Arial"/>
                <w:szCs w:val="21"/>
                <w:highlight w:val="none"/>
              </w:rPr>
              <w:t>静态存储</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GB</w:t>
            </w:r>
          </w:p>
        </w:tc>
        <w:tc>
          <w:tcPr>
            <w:tcW w:w="9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6000</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8</w:t>
            </w:r>
          </w:p>
        </w:tc>
        <w:tc>
          <w:tcPr>
            <w:tcW w:w="5528" w:type="dxa"/>
            <w:tcBorders>
              <w:top w:val="nil"/>
              <w:left w:val="nil"/>
              <w:bottom w:val="single" w:color="auto" w:sz="4" w:space="0"/>
              <w:right w:val="single" w:color="auto" w:sz="4" w:space="0"/>
            </w:tcBorders>
            <w:vAlign w:val="center"/>
          </w:tcPr>
          <w:p>
            <w:pPr>
              <w:widowControl/>
              <w:rPr>
                <w:rFonts w:ascii="宋体" w:hAnsi="宋体" w:eastAsia="宋体" w:cs="Arial"/>
                <w:szCs w:val="21"/>
                <w:highlight w:val="none"/>
              </w:rPr>
            </w:pPr>
            <w:r>
              <w:rPr>
                <w:rFonts w:hint="eastAsia" w:ascii="宋体" w:hAnsi="宋体" w:eastAsia="宋体" w:cs="Arial"/>
                <w:szCs w:val="21"/>
                <w:highlight w:val="none"/>
              </w:rPr>
              <w:t>本地备份服务</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GB</w:t>
            </w:r>
          </w:p>
        </w:tc>
        <w:tc>
          <w:tcPr>
            <w:tcW w:w="9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6000</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9</w:t>
            </w:r>
          </w:p>
        </w:tc>
        <w:tc>
          <w:tcPr>
            <w:tcW w:w="5528" w:type="dxa"/>
            <w:tcBorders>
              <w:top w:val="nil"/>
              <w:left w:val="nil"/>
              <w:bottom w:val="single" w:color="auto" w:sz="4" w:space="0"/>
              <w:right w:val="single" w:color="auto" w:sz="4" w:space="0"/>
            </w:tcBorders>
            <w:vAlign w:val="center"/>
          </w:tcPr>
          <w:p>
            <w:pPr>
              <w:widowControl/>
              <w:rPr>
                <w:rFonts w:ascii="宋体" w:hAnsi="宋体" w:eastAsia="宋体" w:cs="Arial"/>
                <w:szCs w:val="21"/>
                <w:highlight w:val="none"/>
              </w:rPr>
            </w:pPr>
            <w:r>
              <w:rPr>
                <w:rFonts w:hint="eastAsia" w:ascii="宋体" w:hAnsi="宋体" w:eastAsia="宋体" w:cs="Arial"/>
                <w:szCs w:val="21"/>
                <w:highlight w:val="none"/>
              </w:rPr>
              <w:t>互联网链路带宽</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Mb/s</w:t>
            </w:r>
          </w:p>
        </w:tc>
        <w:tc>
          <w:tcPr>
            <w:tcW w:w="9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50</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10</w:t>
            </w:r>
          </w:p>
        </w:tc>
        <w:tc>
          <w:tcPr>
            <w:tcW w:w="5528" w:type="dxa"/>
            <w:tcBorders>
              <w:top w:val="nil"/>
              <w:left w:val="nil"/>
              <w:bottom w:val="single" w:color="auto" w:sz="4" w:space="0"/>
              <w:right w:val="single" w:color="auto" w:sz="4" w:space="0"/>
            </w:tcBorders>
            <w:vAlign w:val="center"/>
          </w:tcPr>
          <w:p>
            <w:pPr>
              <w:widowControl/>
              <w:rPr>
                <w:rFonts w:ascii="宋体" w:hAnsi="宋体" w:eastAsia="宋体" w:cs="Arial"/>
                <w:szCs w:val="21"/>
                <w:highlight w:val="none"/>
              </w:rPr>
            </w:pPr>
            <w:r>
              <w:rPr>
                <w:rFonts w:hint="eastAsia" w:ascii="宋体" w:hAnsi="宋体" w:eastAsia="宋体" w:cs="Arial"/>
                <w:szCs w:val="21"/>
                <w:highlight w:val="none"/>
              </w:rPr>
              <w:t>远程接入服务</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账号</w:t>
            </w:r>
          </w:p>
        </w:tc>
        <w:tc>
          <w:tcPr>
            <w:tcW w:w="9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2</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11</w:t>
            </w:r>
          </w:p>
        </w:tc>
        <w:tc>
          <w:tcPr>
            <w:tcW w:w="5528" w:type="dxa"/>
            <w:tcBorders>
              <w:top w:val="nil"/>
              <w:left w:val="nil"/>
              <w:bottom w:val="single" w:color="auto" w:sz="4" w:space="0"/>
              <w:right w:val="single" w:color="auto" w:sz="4" w:space="0"/>
            </w:tcBorders>
            <w:vAlign w:val="center"/>
          </w:tcPr>
          <w:p>
            <w:pPr>
              <w:widowControl/>
              <w:rPr>
                <w:rFonts w:ascii="宋体" w:hAnsi="宋体" w:eastAsia="宋体" w:cs="Arial"/>
                <w:szCs w:val="21"/>
                <w:highlight w:val="none"/>
              </w:rPr>
            </w:pPr>
            <w:r>
              <w:rPr>
                <w:rFonts w:hint="eastAsia" w:ascii="宋体" w:hAnsi="宋体" w:eastAsia="宋体" w:cs="Arial"/>
                <w:szCs w:val="21"/>
                <w:highlight w:val="none"/>
              </w:rPr>
              <w:t>互联网IP地址服务</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个</w:t>
            </w:r>
          </w:p>
        </w:tc>
        <w:tc>
          <w:tcPr>
            <w:tcW w:w="9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3</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12</w:t>
            </w:r>
          </w:p>
        </w:tc>
        <w:tc>
          <w:tcPr>
            <w:tcW w:w="5528" w:type="dxa"/>
            <w:tcBorders>
              <w:top w:val="nil"/>
              <w:left w:val="nil"/>
              <w:bottom w:val="single" w:color="auto" w:sz="4" w:space="0"/>
              <w:right w:val="single" w:color="auto" w:sz="4" w:space="0"/>
            </w:tcBorders>
            <w:vAlign w:val="center"/>
          </w:tcPr>
          <w:p>
            <w:pPr>
              <w:widowControl/>
              <w:rPr>
                <w:rFonts w:ascii="宋体" w:hAnsi="宋体" w:eastAsia="宋体" w:cs="Arial"/>
                <w:szCs w:val="21"/>
                <w:highlight w:val="none"/>
              </w:rPr>
            </w:pPr>
            <w:r>
              <w:rPr>
                <w:rFonts w:hint="eastAsia" w:ascii="宋体" w:hAnsi="宋体" w:eastAsia="宋体" w:cs="Arial"/>
                <w:szCs w:val="21"/>
                <w:highlight w:val="none"/>
              </w:rPr>
              <w:t>云主机深度监控服务</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套</w:t>
            </w:r>
          </w:p>
        </w:tc>
        <w:tc>
          <w:tcPr>
            <w:tcW w:w="99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szCs w:val="21"/>
                <w:highlight w:val="none"/>
              </w:rPr>
            </w:pPr>
            <w:r>
              <w:rPr>
                <w:rFonts w:hint="eastAsia" w:ascii="宋体" w:hAnsi="宋体" w:eastAsia="宋体" w:cs="Arial"/>
                <w:szCs w:val="21"/>
                <w:highlight w:val="none"/>
              </w:rPr>
              <w:t>65</w:t>
            </w:r>
          </w:p>
        </w:tc>
      </w:tr>
    </w:tbl>
    <w:p>
      <w:pPr>
        <w:pStyle w:val="11"/>
        <w:rPr>
          <w:color w:val="auto"/>
          <w:highlight w:val="none"/>
        </w:rPr>
      </w:pPr>
    </w:p>
    <w:p>
      <w:pPr>
        <w:pStyle w:val="11"/>
        <w:rPr>
          <w:b/>
          <w:color w:val="auto"/>
          <w:highlight w:val="none"/>
        </w:rPr>
      </w:pPr>
      <w:r>
        <w:rPr>
          <w:b/>
          <w:color w:val="auto"/>
          <w:highlight w:val="none"/>
        </w:rPr>
        <w:t>（）政务云扩展服务</w:t>
      </w:r>
    </w:p>
    <w:tbl>
      <w:tblPr>
        <w:tblStyle w:val="7"/>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5558"/>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821" w:type="dxa"/>
            <w:noWrap/>
            <w:vAlign w:val="center"/>
          </w:tcPr>
          <w:p>
            <w:pPr>
              <w:widowControl/>
              <w:jc w:val="center"/>
              <w:rPr>
                <w:rFonts w:ascii="宋体" w:hAnsi="宋体" w:eastAsia="宋体" w:cs="宋体"/>
                <w:b/>
                <w:szCs w:val="21"/>
                <w:highlight w:val="none"/>
              </w:rPr>
            </w:pPr>
            <w:r>
              <w:rPr>
                <w:rFonts w:hint="eastAsia" w:ascii="宋体" w:hAnsi="宋体" w:eastAsia="宋体" w:cs="宋体"/>
                <w:b/>
                <w:szCs w:val="21"/>
                <w:highlight w:val="none"/>
              </w:rPr>
              <w:t>序号</w:t>
            </w:r>
          </w:p>
        </w:tc>
        <w:tc>
          <w:tcPr>
            <w:tcW w:w="5558" w:type="dxa"/>
            <w:vAlign w:val="center"/>
          </w:tcPr>
          <w:p>
            <w:pPr>
              <w:widowControl/>
              <w:jc w:val="center"/>
              <w:rPr>
                <w:rFonts w:ascii="宋体" w:hAnsi="宋体" w:eastAsia="宋体" w:cs="宋体"/>
                <w:b/>
                <w:szCs w:val="21"/>
                <w:highlight w:val="none"/>
              </w:rPr>
            </w:pPr>
            <w:r>
              <w:rPr>
                <w:rFonts w:hint="eastAsia" w:ascii="宋体" w:hAnsi="宋体" w:eastAsia="宋体" w:cs="宋体"/>
                <w:b/>
                <w:szCs w:val="21"/>
                <w:highlight w:val="none"/>
              </w:rPr>
              <w:t>服务名称</w:t>
            </w:r>
          </w:p>
        </w:tc>
        <w:tc>
          <w:tcPr>
            <w:tcW w:w="1134" w:type="dxa"/>
            <w:noWrap/>
            <w:vAlign w:val="center"/>
          </w:tcPr>
          <w:p>
            <w:pPr>
              <w:widowControl/>
              <w:jc w:val="center"/>
              <w:rPr>
                <w:rFonts w:ascii="宋体" w:hAnsi="宋体" w:eastAsia="宋体" w:cs="宋体"/>
                <w:b/>
                <w:szCs w:val="21"/>
                <w:highlight w:val="none"/>
              </w:rPr>
            </w:pPr>
            <w:r>
              <w:rPr>
                <w:rFonts w:hint="eastAsia" w:ascii="宋体" w:hAnsi="宋体" w:eastAsia="宋体" w:cs="宋体"/>
                <w:b/>
                <w:szCs w:val="21"/>
                <w:highlight w:val="none"/>
              </w:rPr>
              <w:t>单位</w:t>
            </w:r>
          </w:p>
        </w:tc>
        <w:tc>
          <w:tcPr>
            <w:tcW w:w="993" w:type="dxa"/>
            <w:noWrap/>
            <w:vAlign w:val="center"/>
          </w:tcPr>
          <w:p>
            <w:pPr>
              <w:widowControl/>
              <w:jc w:val="center"/>
              <w:rPr>
                <w:rFonts w:ascii="宋体" w:hAnsi="宋体" w:eastAsia="宋体" w:cs="宋体"/>
                <w:b/>
                <w:szCs w:val="21"/>
                <w:highlight w:val="none"/>
              </w:rPr>
            </w:pPr>
            <w:r>
              <w:rPr>
                <w:rFonts w:hint="eastAsia" w:ascii="宋体" w:hAnsi="宋体" w:eastAsia="宋体" w:cs="宋体"/>
                <w:b/>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821"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c>
          <w:tcPr>
            <w:tcW w:w="5558" w:type="dxa"/>
            <w:vAlign w:val="center"/>
          </w:tcPr>
          <w:p>
            <w:pPr>
              <w:widowControl/>
              <w:rPr>
                <w:rFonts w:ascii="宋体" w:hAnsi="宋体" w:eastAsia="宋体" w:cs="宋体"/>
                <w:szCs w:val="21"/>
                <w:highlight w:val="none"/>
              </w:rPr>
            </w:pPr>
            <w:r>
              <w:rPr>
                <w:rFonts w:hint="eastAsia" w:ascii="宋体" w:hAnsi="宋体" w:eastAsia="宋体" w:cs="宋体"/>
                <w:szCs w:val="21"/>
                <w:highlight w:val="none"/>
              </w:rPr>
              <w:t>云端APT防护服务</w:t>
            </w:r>
          </w:p>
        </w:tc>
        <w:tc>
          <w:tcPr>
            <w:tcW w:w="1134"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套</w:t>
            </w:r>
          </w:p>
        </w:tc>
        <w:tc>
          <w:tcPr>
            <w:tcW w:w="993"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821"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2</w:t>
            </w:r>
          </w:p>
        </w:tc>
        <w:tc>
          <w:tcPr>
            <w:tcW w:w="5558" w:type="dxa"/>
            <w:vAlign w:val="center"/>
          </w:tcPr>
          <w:p>
            <w:pPr>
              <w:widowControl/>
              <w:rPr>
                <w:rFonts w:ascii="宋体" w:hAnsi="宋体" w:eastAsia="宋体" w:cs="宋体"/>
                <w:szCs w:val="21"/>
                <w:highlight w:val="none"/>
              </w:rPr>
            </w:pPr>
            <w:r>
              <w:rPr>
                <w:rFonts w:hint="eastAsia" w:ascii="宋体" w:hAnsi="宋体" w:eastAsia="宋体" w:cs="宋体"/>
                <w:szCs w:val="21"/>
                <w:highlight w:val="none"/>
              </w:rPr>
              <w:t>主机杀毒服务</w:t>
            </w:r>
          </w:p>
        </w:tc>
        <w:tc>
          <w:tcPr>
            <w:tcW w:w="1134"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台</w:t>
            </w:r>
          </w:p>
        </w:tc>
        <w:tc>
          <w:tcPr>
            <w:tcW w:w="993"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821"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3</w:t>
            </w:r>
          </w:p>
        </w:tc>
        <w:tc>
          <w:tcPr>
            <w:tcW w:w="5558" w:type="dxa"/>
            <w:vAlign w:val="center"/>
          </w:tcPr>
          <w:p>
            <w:pPr>
              <w:widowControl/>
              <w:rPr>
                <w:rFonts w:ascii="宋体" w:hAnsi="宋体" w:eastAsia="宋体" w:cs="宋体"/>
                <w:szCs w:val="21"/>
                <w:highlight w:val="none"/>
              </w:rPr>
            </w:pPr>
            <w:r>
              <w:rPr>
                <w:rFonts w:hint="eastAsia" w:ascii="宋体" w:hAnsi="宋体" w:eastAsia="宋体" w:cs="宋体"/>
                <w:szCs w:val="21"/>
                <w:highlight w:val="none"/>
              </w:rPr>
              <w:t>商用操作系统</w:t>
            </w:r>
          </w:p>
        </w:tc>
        <w:tc>
          <w:tcPr>
            <w:tcW w:w="1134"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套</w:t>
            </w:r>
          </w:p>
        </w:tc>
        <w:tc>
          <w:tcPr>
            <w:tcW w:w="993"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821"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4</w:t>
            </w:r>
          </w:p>
        </w:tc>
        <w:tc>
          <w:tcPr>
            <w:tcW w:w="5558" w:type="dxa"/>
            <w:vAlign w:val="center"/>
          </w:tcPr>
          <w:p>
            <w:pPr>
              <w:widowControl/>
              <w:rPr>
                <w:rFonts w:ascii="宋体" w:hAnsi="宋体" w:eastAsia="宋体" w:cs="宋体"/>
                <w:szCs w:val="21"/>
                <w:highlight w:val="none"/>
              </w:rPr>
            </w:pPr>
            <w:r>
              <w:rPr>
                <w:rFonts w:hint="eastAsia" w:ascii="宋体" w:hAnsi="宋体" w:eastAsia="宋体" w:cs="宋体"/>
                <w:szCs w:val="21"/>
                <w:highlight w:val="none"/>
              </w:rPr>
              <w:t>开源操作系统套餐</w:t>
            </w:r>
          </w:p>
        </w:tc>
        <w:tc>
          <w:tcPr>
            <w:tcW w:w="1134"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套</w:t>
            </w:r>
          </w:p>
        </w:tc>
        <w:tc>
          <w:tcPr>
            <w:tcW w:w="993"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821"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5</w:t>
            </w:r>
          </w:p>
        </w:tc>
        <w:tc>
          <w:tcPr>
            <w:tcW w:w="5558" w:type="dxa"/>
            <w:vAlign w:val="center"/>
          </w:tcPr>
          <w:p>
            <w:pPr>
              <w:widowControl/>
              <w:rPr>
                <w:rFonts w:ascii="宋体" w:hAnsi="宋体" w:eastAsia="宋体" w:cs="宋体"/>
                <w:szCs w:val="21"/>
                <w:highlight w:val="none"/>
              </w:rPr>
            </w:pPr>
            <w:r>
              <w:rPr>
                <w:rFonts w:hint="eastAsia" w:ascii="宋体" w:hAnsi="宋体" w:eastAsia="宋体" w:cs="宋体"/>
                <w:szCs w:val="21"/>
                <w:highlight w:val="none"/>
              </w:rPr>
              <w:t>主机安全加固</w:t>
            </w:r>
          </w:p>
        </w:tc>
        <w:tc>
          <w:tcPr>
            <w:tcW w:w="1134"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台</w:t>
            </w:r>
          </w:p>
        </w:tc>
        <w:tc>
          <w:tcPr>
            <w:tcW w:w="993"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821"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6</w:t>
            </w:r>
          </w:p>
        </w:tc>
        <w:tc>
          <w:tcPr>
            <w:tcW w:w="5558" w:type="dxa"/>
            <w:vAlign w:val="center"/>
          </w:tcPr>
          <w:p>
            <w:pPr>
              <w:widowControl/>
              <w:rPr>
                <w:rFonts w:ascii="宋体" w:hAnsi="宋体" w:eastAsia="宋体" w:cs="宋体"/>
                <w:szCs w:val="21"/>
                <w:highlight w:val="none"/>
              </w:rPr>
            </w:pPr>
            <w:r>
              <w:rPr>
                <w:rFonts w:hint="eastAsia" w:ascii="宋体" w:hAnsi="宋体" w:eastAsia="宋体" w:cs="宋体"/>
                <w:szCs w:val="21"/>
                <w:highlight w:val="none"/>
              </w:rPr>
              <w:t>主机漏洞扫描</w:t>
            </w:r>
          </w:p>
        </w:tc>
        <w:tc>
          <w:tcPr>
            <w:tcW w:w="1134"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台</w:t>
            </w:r>
          </w:p>
        </w:tc>
        <w:tc>
          <w:tcPr>
            <w:tcW w:w="993" w:type="dxa"/>
            <w:noWrap/>
            <w:vAlign w:val="center"/>
          </w:tcPr>
          <w:p>
            <w:pPr>
              <w:widowControl/>
              <w:jc w:val="center"/>
              <w:rPr>
                <w:rFonts w:ascii="宋体" w:hAnsi="宋体" w:eastAsia="宋体" w:cs="宋体"/>
                <w:szCs w:val="21"/>
                <w:highlight w:val="none"/>
              </w:rPr>
            </w:pPr>
            <w:r>
              <w:rPr>
                <w:rFonts w:hint="eastAsia" w:ascii="宋体" w:hAnsi="宋体" w:eastAsia="宋体" w:cs="宋体"/>
                <w:szCs w:val="21"/>
                <w:highlight w:val="none"/>
              </w:rPr>
              <w:t>65</w:t>
            </w:r>
          </w:p>
        </w:tc>
      </w:tr>
    </w:tbl>
    <w:p>
      <w:pPr>
        <w:spacing w:line="360" w:lineRule="auto"/>
        <w:contextualSpacing/>
        <w:rPr>
          <w:bCs/>
          <w:sz w:val="24"/>
          <w:highlight w:val="none"/>
        </w:rPr>
      </w:pPr>
    </w:p>
    <w:p>
      <w:pPr>
        <w:spacing w:line="360" w:lineRule="auto"/>
        <w:contextualSpacing/>
        <w:rPr>
          <w:bCs/>
          <w:sz w:val="24"/>
          <w:highlight w:val="none"/>
        </w:rPr>
      </w:pPr>
      <w:r>
        <w:rPr>
          <w:bCs/>
          <w:sz w:val="24"/>
          <w:highlight w:val="none"/>
        </w:rPr>
        <w:t>2. 项目背景/项目概述</w:t>
      </w:r>
    </w:p>
    <w:p>
      <w:pPr>
        <w:spacing w:line="360" w:lineRule="auto"/>
        <w:ind w:firstLine="480"/>
        <w:rPr>
          <w:rFonts w:ascii="宋体" w:hAnsi="宋体" w:cs="宋体"/>
          <w:szCs w:val="21"/>
          <w:highlight w:val="none"/>
        </w:rPr>
      </w:pPr>
      <w:r>
        <w:rPr>
          <w:rFonts w:hint="eastAsia" w:ascii="宋体" w:hAnsi="宋体" w:cs="宋体"/>
          <w:szCs w:val="21"/>
          <w:highlight w:val="none"/>
        </w:rPr>
        <w:t>租用北京市政务云</w:t>
      </w:r>
      <w:bookmarkStart w:id="2" w:name="_GoBack"/>
      <w:bookmarkEnd w:id="2"/>
      <w:r>
        <w:rPr>
          <w:rFonts w:hint="eastAsia" w:ascii="宋体" w:hAnsi="宋体" w:cs="宋体"/>
          <w:szCs w:val="21"/>
          <w:highlight w:val="none"/>
        </w:rPr>
        <w:t>计算、存储、网络、安全等资源，支撑公共广播信号监测、北京新媒体集团播出信号监测</w:t>
      </w:r>
      <w:r>
        <w:rPr>
          <w:rFonts w:hint="eastAsia" w:ascii="宋体" w:hAnsi="宋体" w:cs="宋体"/>
          <w:szCs w:val="21"/>
          <w:highlight w:val="none"/>
          <w:lang w:eastAsia="zh-CN"/>
        </w:rPr>
        <w:t>等</w:t>
      </w:r>
      <w:r>
        <w:rPr>
          <w:rFonts w:hint="eastAsia" w:ascii="宋体" w:hAnsi="宋体" w:cs="宋体"/>
          <w:szCs w:val="21"/>
          <w:highlight w:val="none"/>
        </w:rPr>
        <w:t>业务开展。</w:t>
      </w:r>
    </w:p>
    <w:p>
      <w:pPr>
        <w:spacing w:line="360" w:lineRule="auto"/>
        <w:ind w:firstLine="482"/>
        <w:contextualSpacing/>
        <w:rPr>
          <w:b/>
          <w:sz w:val="24"/>
          <w:highlight w:val="none"/>
        </w:rPr>
      </w:pPr>
    </w:p>
    <w:p>
      <w:pPr>
        <w:pStyle w:val="10"/>
        <w:numPr>
          <w:ilvl w:val="0"/>
          <w:numId w:val="2"/>
        </w:numPr>
        <w:spacing w:line="360" w:lineRule="auto"/>
        <w:ind w:firstLineChars="0"/>
        <w:contextualSpacing/>
        <w:rPr>
          <w:rFonts w:ascii="Times New Roman" w:hAnsi="Times New Roman"/>
          <w:b/>
          <w:sz w:val="24"/>
          <w:szCs w:val="24"/>
          <w:highlight w:val="none"/>
        </w:rPr>
      </w:pPr>
      <w:r>
        <w:rPr>
          <w:rFonts w:hint="eastAsia" w:ascii="Times New Roman" w:hAnsi="Times New Roman"/>
          <w:b/>
          <w:sz w:val="24"/>
          <w:szCs w:val="24"/>
          <w:highlight w:val="none"/>
        </w:rPr>
        <w:t>商务</w:t>
      </w:r>
      <w:r>
        <w:rPr>
          <w:rFonts w:ascii="Times New Roman" w:hAnsi="Times New Roman"/>
          <w:b/>
          <w:sz w:val="24"/>
          <w:szCs w:val="24"/>
          <w:highlight w:val="none"/>
        </w:rPr>
        <w:t>要求</w:t>
      </w:r>
    </w:p>
    <w:p>
      <w:pPr>
        <w:spacing w:line="360" w:lineRule="auto"/>
        <w:contextualSpacing/>
        <w:rPr>
          <w:i/>
          <w:sz w:val="24"/>
          <w:highlight w:val="none"/>
        </w:rPr>
      </w:pPr>
      <w:r>
        <w:rPr>
          <w:sz w:val="24"/>
          <w:highlight w:val="none"/>
        </w:rPr>
        <w:t>1. 交付（实施）的时间（期限）和地点（范围）</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（1）时间：服务期1年， 2024年7月1日至2025年6月30日。</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（2）服务地点：六里桥北京市政务云机房。</w:t>
      </w:r>
    </w:p>
    <w:p>
      <w:pPr>
        <w:spacing w:line="360" w:lineRule="auto"/>
        <w:contextualSpacing/>
        <w:rPr>
          <w:i/>
          <w:sz w:val="24"/>
          <w:highlight w:val="none"/>
        </w:rPr>
      </w:pPr>
    </w:p>
    <w:p>
      <w:pPr>
        <w:spacing w:line="360" w:lineRule="auto"/>
        <w:contextualSpacing/>
        <w:rPr>
          <w:sz w:val="24"/>
          <w:highlight w:val="none"/>
        </w:rPr>
      </w:pPr>
      <w:r>
        <w:rPr>
          <w:sz w:val="24"/>
          <w:highlight w:val="none"/>
        </w:rPr>
        <w:t>2. 付款条件（进度和方式）</w:t>
      </w:r>
    </w:p>
    <w:p>
      <w:pPr>
        <w:spacing w:line="360" w:lineRule="auto"/>
        <w:ind w:firstLine="420" w:firstLineChars="200"/>
        <w:contextualSpacing/>
        <w:rPr>
          <w:bCs/>
          <w:sz w:val="24"/>
          <w:highlight w:val="none"/>
        </w:rPr>
      </w:pPr>
      <w:r>
        <w:rPr>
          <w:rFonts w:hint="eastAsia" w:ascii="宋体" w:hAnsi="宋体"/>
          <w:szCs w:val="21"/>
          <w:highlight w:val="none"/>
        </w:rPr>
        <w:t>合同签订生效后5个工作日内，中标人向采购人支付合同总价的10%作为合同履约保证金，采购人收到履约保证金后10个工作日内支付80%合同款；中标人按照合同规定履行服务满2个月后，采购人支付20%合同尾款；合同期满后，若中标人完全履行了合同所规定的条款，经采购人验收合格后且无任何争议或遗留问题，在10个工作日内，采购人向中标人无息退还合同履约保证金。</w:t>
      </w:r>
    </w:p>
    <w:p>
      <w:pPr>
        <w:spacing w:line="360" w:lineRule="auto"/>
        <w:contextualSpacing/>
        <w:rPr>
          <w:b/>
          <w:i/>
          <w:sz w:val="24"/>
          <w:highlight w:val="none"/>
        </w:rPr>
      </w:pPr>
    </w:p>
    <w:p>
      <w:pPr>
        <w:pStyle w:val="10"/>
        <w:numPr>
          <w:ilvl w:val="0"/>
          <w:numId w:val="2"/>
        </w:numPr>
        <w:spacing w:line="360" w:lineRule="auto"/>
        <w:ind w:firstLineChars="0"/>
        <w:contextualSpacing/>
        <w:rPr>
          <w:rFonts w:ascii="Times New Roman" w:hAnsi="Times New Roman"/>
          <w:b/>
          <w:sz w:val="24"/>
          <w:szCs w:val="24"/>
          <w:highlight w:val="none"/>
        </w:rPr>
      </w:pPr>
      <w:r>
        <w:rPr>
          <w:rFonts w:hint="eastAsia" w:ascii="Times New Roman" w:hAnsi="Times New Roman"/>
          <w:b/>
          <w:sz w:val="24"/>
          <w:szCs w:val="24"/>
          <w:highlight w:val="none"/>
        </w:rPr>
        <w:t>服务</w:t>
      </w:r>
      <w:r>
        <w:rPr>
          <w:rFonts w:ascii="Times New Roman" w:hAnsi="Times New Roman"/>
          <w:b/>
          <w:sz w:val="24"/>
          <w:szCs w:val="24"/>
          <w:highlight w:val="none"/>
        </w:rPr>
        <w:t>要求</w:t>
      </w:r>
    </w:p>
    <w:p>
      <w:pPr>
        <w:spacing w:line="360" w:lineRule="auto"/>
        <w:ind w:firstLine="465"/>
        <w:rPr>
          <w:rFonts w:ascii="宋体" w:hAnsi="宋体" w:cs="宋体"/>
          <w:szCs w:val="21"/>
          <w:highlight w:val="none"/>
        </w:rPr>
      </w:pPr>
      <w:r>
        <w:rPr>
          <w:rFonts w:hint="eastAsia" w:ascii="宋体" w:hAnsi="宋体" w:cs="宋体"/>
          <w:szCs w:val="21"/>
          <w:highlight w:val="none"/>
        </w:rPr>
        <w:t>投标人应提供详细的项目实施方案，对政务云基础服务、扩展服务全面响应。</w:t>
      </w:r>
    </w:p>
    <w:p>
      <w:pPr>
        <w:spacing w:line="360" w:lineRule="auto"/>
        <w:ind w:firstLine="465"/>
        <w:rPr>
          <w:rFonts w:ascii="宋体" w:hAnsi="宋体" w:cs="宋体"/>
          <w:b/>
          <w:szCs w:val="21"/>
          <w:highlight w:val="none"/>
        </w:rPr>
      </w:pPr>
      <w:r>
        <w:rPr>
          <w:rFonts w:hint="eastAsia" w:ascii="宋体" w:hAnsi="宋体" w:cs="宋体"/>
          <w:b/>
          <w:szCs w:val="21"/>
          <w:highlight w:val="none"/>
        </w:rPr>
        <w:t>（一）政务云服务要求</w:t>
      </w:r>
    </w:p>
    <w:p>
      <w:pPr>
        <w:spacing w:line="360" w:lineRule="auto"/>
        <w:ind w:firstLine="465"/>
        <w:rPr>
          <w:rFonts w:ascii="宋体" w:hAnsi="宋体" w:cs="宋体"/>
          <w:b/>
          <w:szCs w:val="21"/>
          <w:highlight w:val="none"/>
        </w:rPr>
      </w:pPr>
      <w:r>
        <w:rPr>
          <w:rFonts w:hint="eastAsia" w:ascii="宋体" w:hAnsi="宋体" w:cs="宋体"/>
          <w:b/>
          <w:szCs w:val="21"/>
          <w:highlight w:val="none"/>
        </w:rPr>
        <w:t>1.政务云基础服务要求</w:t>
      </w:r>
    </w:p>
    <w:p>
      <w:pPr>
        <w:spacing w:line="360" w:lineRule="auto"/>
        <w:ind w:firstLine="540"/>
        <w:rPr>
          <w:rFonts w:ascii="宋体" w:hAnsi="宋体" w:cs="宋体"/>
          <w:szCs w:val="21"/>
          <w:highlight w:val="none"/>
        </w:rPr>
      </w:pPr>
      <w:r>
        <w:rPr>
          <w:rFonts w:hint="eastAsia" w:ascii="宋体" w:hAnsi="宋体" w:cs="宋体"/>
          <w:szCs w:val="21"/>
          <w:highlight w:val="none"/>
        </w:rPr>
        <w:t>（1）政务云服务平台管理系统需要具备安全、稳定、可靠和高扩展等特性，云平台应具备不低于99.99%可用性，支持用户自主配置主机、存储、网络、安全等资源，支持定制化开发。</w:t>
      </w:r>
    </w:p>
    <w:p>
      <w:pPr>
        <w:spacing w:line="360" w:lineRule="auto"/>
        <w:ind w:firstLine="540"/>
        <w:rPr>
          <w:rFonts w:ascii="宋体" w:hAnsi="宋体" w:cs="宋体"/>
          <w:szCs w:val="21"/>
          <w:highlight w:val="none"/>
        </w:rPr>
      </w:pPr>
      <w:r>
        <w:rPr>
          <w:rFonts w:hint="eastAsia" w:ascii="宋体" w:hAnsi="宋体" w:cs="宋体"/>
          <w:szCs w:val="21"/>
          <w:highlight w:val="none"/>
        </w:rPr>
        <w:t>（2）支持数据中心资源动态调度，云主机资源支持弹性调整，可根据业务压力随时调整虚拟机数量、内存及数据盘磁盘容量，实例可用性达99.99%；虚拟机支持秒级启动功能，停机时间可控制在秒级。</w:t>
      </w:r>
    </w:p>
    <w:p>
      <w:pPr>
        <w:spacing w:line="360" w:lineRule="auto"/>
        <w:ind w:firstLine="540"/>
        <w:rPr>
          <w:rFonts w:ascii="宋体" w:hAnsi="宋体" w:cs="宋体"/>
          <w:szCs w:val="21"/>
          <w:highlight w:val="none"/>
        </w:rPr>
      </w:pPr>
      <w:r>
        <w:rPr>
          <w:rFonts w:hint="eastAsia" w:ascii="宋体" w:hAnsi="宋体" w:cs="宋体"/>
          <w:szCs w:val="21"/>
          <w:highlight w:val="none"/>
        </w:rPr>
        <w:t>（3）支持对虚拟机CPU、内存、存储、带宽进行实时监控，并支持自定义告警规则。</w:t>
      </w:r>
    </w:p>
    <w:p>
      <w:pPr>
        <w:spacing w:line="360" w:lineRule="auto"/>
        <w:ind w:firstLine="540"/>
        <w:rPr>
          <w:rFonts w:ascii="宋体" w:hAnsi="宋体" w:cs="宋体"/>
          <w:szCs w:val="21"/>
          <w:highlight w:val="none"/>
        </w:rPr>
      </w:pPr>
      <w:r>
        <w:rPr>
          <w:rFonts w:hint="eastAsia" w:ascii="宋体" w:hAnsi="宋体" w:cs="宋体"/>
          <w:szCs w:val="21"/>
          <w:highlight w:val="none"/>
        </w:rPr>
        <w:t>（4）支持虚拟机的跨物理服务器的在线迁移。</w:t>
      </w:r>
    </w:p>
    <w:p>
      <w:pPr>
        <w:spacing w:line="360" w:lineRule="auto"/>
        <w:ind w:firstLine="540"/>
        <w:rPr>
          <w:rFonts w:ascii="宋体" w:hAnsi="宋体" w:cs="宋体"/>
          <w:szCs w:val="21"/>
          <w:highlight w:val="none"/>
        </w:rPr>
      </w:pPr>
      <w:r>
        <w:rPr>
          <w:rFonts w:hint="eastAsia" w:ascii="宋体" w:hAnsi="宋体" w:cs="宋体"/>
          <w:szCs w:val="21"/>
          <w:highlight w:val="none"/>
        </w:rPr>
        <w:t>（5）支持自动生成资源使用情况的数据报表（需提供所投产品此项要求的系统功能截图或其他有效证明材料）。</w:t>
      </w:r>
    </w:p>
    <w:p>
      <w:pPr>
        <w:spacing w:line="360" w:lineRule="auto"/>
        <w:ind w:firstLine="540"/>
        <w:rPr>
          <w:rFonts w:ascii="宋体" w:hAnsi="宋体" w:cs="宋体"/>
          <w:szCs w:val="21"/>
          <w:highlight w:val="none"/>
        </w:rPr>
      </w:pPr>
      <w:r>
        <w:rPr>
          <w:rFonts w:hint="eastAsia" w:ascii="宋体" w:hAnsi="宋体" w:cs="宋体"/>
          <w:szCs w:val="21"/>
          <w:highlight w:val="none"/>
        </w:rPr>
        <w:t xml:space="preserve">（6）支持用户自主制作镜像功能。  </w:t>
      </w:r>
    </w:p>
    <w:p>
      <w:pPr>
        <w:spacing w:line="360" w:lineRule="auto"/>
        <w:ind w:firstLine="540"/>
        <w:rPr>
          <w:rFonts w:ascii="宋体" w:hAnsi="宋体" w:cs="宋体"/>
          <w:szCs w:val="21"/>
          <w:highlight w:val="none"/>
        </w:rPr>
      </w:pPr>
      <w:r>
        <w:rPr>
          <w:rFonts w:hint="eastAsia" w:ascii="宋体" w:hAnsi="宋体" w:cs="宋体"/>
          <w:szCs w:val="21"/>
          <w:highlight w:val="none"/>
        </w:rPr>
        <w:t xml:space="preserve">（7）支持windows server 2008  Datacenter x32 英文、windows server 2008 R2 Datacenter x64中文/英文、windows server 2012 R2 Datacenter x64中文/英文、centos x64、debian 8.2 x64、Fedora 20 x64、ubuntu  server x64等主流操作系统。  </w:t>
      </w:r>
    </w:p>
    <w:p>
      <w:pPr>
        <w:spacing w:line="360" w:lineRule="auto"/>
        <w:ind w:firstLine="540"/>
        <w:rPr>
          <w:rFonts w:ascii="宋体" w:hAnsi="宋体" w:cs="宋体"/>
          <w:szCs w:val="21"/>
          <w:highlight w:val="none"/>
        </w:rPr>
      </w:pPr>
      <w:r>
        <w:rPr>
          <w:rFonts w:hint="eastAsia" w:ascii="宋体" w:hAnsi="宋体" w:cs="宋体"/>
          <w:szCs w:val="21"/>
          <w:highlight w:val="none"/>
        </w:rPr>
        <w:t xml:space="preserve">（8）可按要求对资源进行物理或逻辑隔离，满足政务云平台独立资源区域划分要求；支持用户自定义虚拟主机专用网络或VLAN，并支持7层和4层的软件负载均衡。 </w:t>
      </w:r>
    </w:p>
    <w:p>
      <w:pPr>
        <w:spacing w:line="360" w:lineRule="auto"/>
        <w:ind w:firstLine="540"/>
        <w:rPr>
          <w:rFonts w:ascii="宋体" w:hAnsi="宋体" w:cs="宋体"/>
          <w:szCs w:val="21"/>
          <w:highlight w:val="none"/>
        </w:rPr>
      </w:pPr>
      <w:r>
        <w:rPr>
          <w:rFonts w:hint="eastAsia" w:ascii="宋体" w:hAnsi="宋体" w:cs="宋体"/>
          <w:szCs w:val="21"/>
          <w:highlight w:val="none"/>
        </w:rPr>
        <w:t xml:space="preserve">（9）提供高性能存储空间，读写IOPS： 3000-20000；支持NFS，CIFS，SAMBA等协议，可进行跨平台文件共享。  </w:t>
      </w:r>
    </w:p>
    <w:p>
      <w:pPr>
        <w:spacing w:line="360" w:lineRule="auto"/>
        <w:ind w:firstLine="540"/>
        <w:rPr>
          <w:rFonts w:ascii="宋体" w:hAnsi="宋体" w:cs="宋体"/>
          <w:szCs w:val="21"/>
          <w:highlight w:val="none"/>
        </w:rPr>
      </w:pPr>
      <w:r>
        <w:rPr>
          <w:rFonts w:hint="eastAsia" w:ascii="宋体" w:hAnsi="宋体" w:cs="宋体"/>
          <w:szCs w:val="21"/>
          <w:highlight w:val="none"/>
        </w:rPr>
        <w:t>（10）支持存储快照，对系统盘、磁盘数据生成备份，快速恢复数据，本地数据零丢失。</w:t>
      </w:r>
    </w:p>
    <w:p>
      <w:pPr>
        <w:spacing w:line="360" w:lineRule="auto"/>
        <w:ind w:firstLine="540"/>
        <w:rPr>
          <w:rFonts w:ascii="宋体" w:hAnsi="宋体" w:cs="宋体"/>
          <w:szCs w:val="21"/>
          <w:highlight w:val="none"/>
        </w:rPr>
      </w:pPr>
      <w:r>
        <w:rPr>
          <w:rFonts w:hint="eastAsia" w:ascii="宋体" w:hAnsi="宋体" w:cs="宋体"/>
          <w:szCs w:val="21"/>
          <w:highlight w:val="none"/>
        </w:rPr>
        <w:t>（11）支持云磁盘的创建、删除、挂载到一个特定的虚拟机，作为用户的数据盘使用，支持逻辑卷快照及恢复，支持逻辑卷按需扩容。</w:t>
      </w:r>
    </w:p>
    <w:p>
      <w:pPr>
        <w:spacing w:line="360" w:lineRule="auto"/>
        <w:ind w:firstLine="540"/>
        <w:rPr>
          <w:rFonts w:ascii="宋体" w:hAnsi="宋体" w:cs="宋体"/>
          <w:szCs w:val="21"/>
          <w:highlight w:val="none"/>
        </w:rPr>
      </w:pPr>
      <w:r>
        <w:rPr>
          <w:rFonts w:hint="eastAsia" w:ascii="宋体" w:hAnsi="宋体" w:cs="宋体"/>
          <w:szCs w:val="21"/>
          <w:highlight w:val="none"/>
        </w:rPr>
        <w:t>（12）支持用户自主进行虚拟资源的新建、添加、删除、启动、停止、资源释放和回收。</w:t>
      </w:r>
    </w:p>
    <w:p>
      <w:pPr>
        <w:spacing w:line="360" w:lineRule="auto"/>
        <w:ind w:firstLine="540"/>
        <w:rPr>
          <w:rFonts w:ascii="宋体" w:hAnsi="宋体" w:cs="宋体"/>
          <w:szCs w:val="21"/>
          <w:highlight w:val="none"/>
        </w:rPr>
      </w:pPr>
      <w:r>
        <w:rPr>
          <w:rFonts w:hint="eastAsia" w:ascii="宋体" w:hAnsi="宋体" w:cs="宋体"/>
          <w:szCs w:val="21"/>
          <w:highlight w:val="none"/>
        </w:rPr>
        <w:t>（13）支持云平台租户自行指定云主机的网卡IP。</w:t>
      </w:r>
    </w:p>
    <w:p>
      <w:pPr>
        <w:spacing w:line="360" w:lineRule="auto"/>
        <w:ind w:firstLine="540"/>
        <w:rPr>
          <w:rFonts w:ascii="宋体" w:hAnsi="宋体" w:cs="宋体"/>
          <w:szCs w:val="21"/>
          <w:highlight w:val="none"/>
        </w:rPr>
      </w:pPr>
      <w:r>
        <w:rPr>
          <w:rFonts w:hint="eastAsia" w:ascii="宋体" w:hAnsi="宋体" w:cs="宋体"/>
          <w:szCs w:val="21"/>
          <w:highlight w:val="none"/>
        </w:rPr>
        <w:t>（14）支持图形化管理物理裸机，支持云平台对物理机的开关启停操作，支持物理机自动安装操作系统（需提供所投产品此项要求的系统功能截图或其他有效证明材料）。</w:t>
      </w:r>
    </w:p>
    <w:p>
      <w:pPr>
        <w:spacing w:line="360" w:lineRule="auto"/>
        <w:ind w:firstLine="540"/>
        <w:rPr>
          <w:rFonts w:ascii="宋体" w:hAnsi="宋体" w:cs="宋体"/>
          <w:szCs w:val="21"/>
          <w:highlight w:val="none"/>
        </w:rPr>
      </w:pPr>
      <w:r>
        <w:rPr>
          <w:rFonts w:hint="eastAsia" w:ascii="宋体" w:hAnsi="宋体" w:cs="宋体"/>
          <w:szCs w:val="21"/>
          <w:highlight w:val="none"/>
        </w:rPr>
        <w:t>（15）支持自定义定时任务，提供指定时间周期的定时任务，包括开关云主机、定时快照、浮动IP带宽调整等（需提供所投产品此项要求的系统功能截图或其他有效证明材料）</w:t>
      </w:r>
    </w:p>
    <w:p>
      <w:pPr>
        <w:spacing w:line="360" w:lineRule="auto"/>
        <w:ind w:firstLine="540"/>
        <w:rPr>
          <w:rFonts w:ascii="宋体" w:hAnsi="宋体" w:cs="宋体"/>
          <w:szCs w:val="21"/>
          <w:highlight w:val="none"/>
        </w:rPr>
      </w:pPr>
    </w:p>
    <w:p>
      <w:pPr>
        <w:spacing w:line="360" w:lineRule="auto"/>
        <w:ind w:firstLine="465"/>
        <w:rPr>
          <w:rFonts w:ascii="宋体" w:hAnsi="宋体" w:cs="宋体"/>
          <w:b/>
          <w:szCs w:val="21"/>
          <w:highlight w:val="none"/>
        </w:rPr>
      </w:pPr>
      <w:r>
        <w:rPr>
          <w:rFonts w:hint="eastAsia" w:ascii="宋体" w:hAnsi="宋体" w:cs="宋体"/>
          <w:b/>
          <w:szCs w:val="21"/>
          <w:highlight w:val="none"/>
        </w:rPr>
        <w:t>2.政务云扩展服务要求</w:t>
      </w:r>
    </w:p>
    <w:p>
      <w:pPr>
        <w:spacing w:line="360" w:lineRule="auto"/>
        <w:ind w:firstLine="540"/>
        <w:rPr>
          <w:rFonts w:ascii="宋体" w:hAnsi="宋体" w:cs="宋体"/>
          <w:szCs w:val="21"/>
          <w:highlight w:val="none"/>
        </w:rPr>
      </w:pPr>
      <w:r>
        <w:rPr>
          <w:rFonts w:hint="eastAsia" w:ascii="宋体" w:hAnsi="宋体" w:cs="宋体"/>
          <w:szCs w:val="21"/>
          <w:highlight w:val="none"/>
        </w:rPr>
        <w:t>（1）确保</w:t>
      </w:r>
      <w:r>
        <w:rPr>
          <w:rFonts w:hint="default" w:ascii="宋体" w:hAnsi="宋体" w:eastAsia="宋体" w:cs="宋体"/>
          <w:b w:val="0"/>
          <w:bCs w:val="0"/>
          <w:i w:val="0"/>
          <w:iCs w:val="0"/>
          <w:color w:val="auto"/>
          <w:sz w:val="21"/>
          <w:szCs w:val="21"/>
          <w:highlight w:val="none"/>
          <w:vertAlign w:val="baseline"/>
          <w:lang w:val="en-US" w:eastAsia="zh-CN" w:bidi="ar-SA"/>
        </w:rPr>
        <w:t>公共广播信号监测</w:t>
      </w:r>
      <w:r>
        <w:rPr>
          <w:rFonts w:hint="eastAsia" w:ascii="宋体" w:hAnsi="宋体" w:eastAsia="宋体" w:cs="宋体"/>
          <w:b w:val="0"/>
          <w:bCs w:val="0"/>
          <w:i w:val="0"/>
          <w:iCs w:val="0"/>
          <w:color w:val="auto"/>
          <w:sz w:val="21"/>
          <w:szCs w:val="21"/>
          <w:highlight w:val="none"/>
          <w:vertAlign w:val="baseline"/>
          <w:lang w:val="en-US" w:eastAsia="zh-CN" w:bidi="ar-SA"/>
        </w:rPr>
        <w:t>等业务系统</w:t>
      </w:r>
      <w:r>
        <w:rPr>
          <w:rFonts w:hint="eastAsia" w:ascii="宋体" w:hAnsi="宋体" w:cs="宋体"/>
          <w:szCs w:val="21"/>
          <w:highlight w:val="none"/>
        </w:rPr>
        <w:t>网络安全防护措施符合等保2.0二级防护要求。</w:t>
      </w:r>
    </w:p>
    <w:p>
      <w:pPr>
        <w:spacing w:line="360" w:lineRule="auto"/>
        <w:ind w:firstLine="540"/>
        <w:rPr>
          <w:rFonts w:ascii="宋体" w:hAnsi="宋体" w:cs="宋体"/>
          <w:szCs w:val="21"/>
          <w:highlight w:val="none"/>
        </w:rPr>
      </w:pPr>
      <w:r>
        <w:rPr>
          <w:rFonts w:hint="eastAsia" w:ascii="宋体" w:hAnsi="宋体" w:cs="宋体"/>
          <w:szCs w:val="21"/>
          <w:highlight w:val="none"/>
        </w:rPr>
        <w:t>（2）确保</w:t>
      </w:r>
      <w:r>
        <w:rPr>
          <w:rFonts w:hint="default" w:ascii="宋体" w:hAnsi="宋体" w:eastAsia="宋体" w:cs="宋体"/>
          <w:b w:val="0"/>
          <w:bCs w:val="0"/>
          <w:i w:val="0"/>
          <w:iCs w:val="0"/>
          <w:color w:val="auto"/>
          <w:sz w:val="21"/>
          <w:szCs w:val="21"/>
          <w:highlight w:val="none"/>
          <w:vertAlign w:val="baseline"/>
          <w:lang w:val="en-US" w:eastAsia="zh-CN" w:bidi="ar-SA"/>
        </w:rPr>
        <w:t>公共广播信号监测等业务</w:t>
      </w:r>
      <w:r>
        <w:rPr>
          <w:rFonts w:hint="eastAsia" w:ascii="宋体" w:hAnsi="宋体" w:eastAsia="宋体" w:cs="宋体"/>
          <w:b w:val="0"/>
          <w:bCs w:val="0"/>
          <w:i w:val="0"/>
          <w:iCs w:val="0"/>
          <w:color w:val="auto"/>
          <w:sz w:val="21"/>
          <w:szCs w:val="21"/>
          <w:highlight w:val="none"/>
          <w:vertAlign w:val="baseline"/>
          <w:lang w:val="en-US" w:eastAsia="zh-CN" w:bidi="ar-SA"/>
        </w:rPr>
        <w:t>系统</w:t>
      </w:r>
      <w:r>
        <w:rPr>
          <w:rFonts w:hint="eastAsia" w:ascii="宋体" w:hAnsi="宋体" w:cs="宋体"/>
          <w:szCs w:val="21"/>
          <w:highlight w:val="none"/>
        </w:rPr>
        <w:t>政务云资源安全可靠运行，无安全隐患，不被病毒、木马等网络威胁攻击；有完整的网络安全应急预案，应对可能发生的紧急事故。</w:t>
      </w:r>
    </w:p>
    <w:p>
      <w:pPr>
        <w:spacing w:line="360" w:lineRule="auto"/>
        <w:ind w:firstLine="540"/>
        <w:rPr>
          <w:rFonts w:ascii="宋体" w:hAnsi="宋体" w:cs="宋体"/>
          <w:szCs w:val="21"/>
          <w:highlight w:val="none"/>
        </w:rPr>
      </w:pPr>
      <w:r>
        <w:rPr>
          <w:rFonts w:hint="eastAsia" w:ascii="宋体" w:hAnsi="宋体" w:cs="宋体"/>
          <w:szCs w:val="21"/>
          <w:highlight w:val="none"/>
        </w:rPr>
        <w:t>（3）提供云主机深度监控、网络流量监控、抗DDos、防篡改等网络安全服务，定期进行漏洞扫描、杀毒、防护。</w:t>
      </w:r>
    </w:p>
    <w:p>
      <w:pPr>
        <w:spacing w:line="360" w:lineRule="auto"/>
        <w:ind w:firstLine="540"/>
        <w:rPr>
          <w:rFonts w:ascii="宋体" w:hAnsi="宋体" w:cs="宋体"/>
          <w:szCs w:val="21"/>
          <w:highlight w:val="none"/>
        </w:rPr>
      </w:pPr>
      <w:r>
        <w:rPr>
          <w:rFonts w:hint="eastAsia" w:ascii="宋体" w:hAnsi="宋体" w:cs="宋体"/>
          <w:szCs w:val="21"/>
          <w:highlight w:val="none"/>
        </w:rPr>
        <w:t>（4）投标人需提供云平台商业密码安全性评估报告复印件（报告时间需在自2023年1月1日至递交投标文件截止日），评估结果符合密评第三级信息系统要求，评测报告持有人与投标人必须完全一致并加盖证明及评测报告持有人公章。</w:t>
      </w:r>
    </w:p>
    <w:p>
      <w:pPr>
        <w:spacing w:line="360" w:lineRule="auto"/>
        <w:ind w:firstLine="540"/>
        <w:rPr>
          <w:rFonts w:ascii="宋体" w:hAnsi="宋体" w:cs="宋体"/>
          <w:szCs w:val="21"/>
          <w:highlight w:val="none"/>
        </w:rPr>
      </w:pPr>
      <w:r>
        <w:rPr>
          <w:rFonts w:hint="eastAsia" w:ascii="宋体" w:hAnsi="宋体" w:cs="宋体"/>
          <w:szCs w:val="21"/>
          <w:highlight w:val="none"/>
        </w:rPr>
        <w:t>（5）投标人需提供投标人的政务云平台在公安部门进行信息安全等级保护第三级的备案证明复印件、等保评测报告关键页复印件（等保测评检测报告时间需在自2023年1月1日至本项目开标前一日内）和有效的政务云通过中央网信办云计算服务安全评估证明材料。</w:t>
      </w:r>
    </w:p>
    <w:p>
      <w:pPr>
        <w:spacing w:line="360" w:lineRule="auto"/>
        <w:ind w:firstLine="465"/>
        <w:rPr>
          <w:rFonts w:ascii="宋体" w:hAnsi="宋体" w:cs="宋体"/>
          <w:b/>
          <w:szCs w:val="21"/>
          <w:highlight w:val="none"/>
        </w:rPr>
      </w:pPr>
      <w:r>
        <w:rPr>
          <w:rFonts w:hint="eastAsia" w:ascii="宋体" w:hAnsi="宋体" w:cs="宋体"/>
          <w:b/>
          <w:szCs w:val="21"/>
          <w:highlight w:val="none"/>
        </w:rPr>
        <w:t>（二）项目实施团队</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投标人应为本项目实施配备专门的项目负责人和不少于5人的技术人员，负责云资源部署调试、安全防护部署，项目负责人和技术人员应具备2年以上云资源实施或维护工作经验，项目负责人应具有信息系统项目管理师（高级）且具有5年以上（含）类似工作经验，技术人员应具有CISP资质证书，团队所有人员需提供人员简历或劳动合同等劳动关系证明材料。</w:t>
      </w:r>
    </w:p>
    <w:p>
      <w:pPr>
        <w:spacing w:line="360" w:lineRule="auto"/>
        <w:ind w:firstLine="465"/>
        <w:rPr>
          <w:rFonts w:ascii="宋体" w:hAnsi="宋体" w:cs="宋体"/>
          <w:b/>
          <w:szCs w:val="21"/>
          <w:highlight w:val="none"/>
        </w:rPr>
      </w:pPr>
      <w:r>
        <w:rPr>
          <w:rFonts w:hint="eastAsia" w:ascii="宋体" w:hAnsi="宋体" w:cs="宋体"/>
          <w:b/>
          <w:szCs w:val="21"/>
          <w:highlight w:val="none"/>
        </w:rPr>
        <w:t>（三）培训</w:t>
      </w:r>
    </w:p>
    <w:p>
      <w:pPr>
        <w:spacing w:line="360" w:lineRule="auto"/>
        <w:ind w:firstLine="540"/>
        <w:rPr>
          <w:rFonts w:ascii="宋体" w:hAnsi="宋体" w:cs="宋体"/>
          <w:szCs w:val="21"/>
          <w:highlight w:val="none"/>
        </w:rPr>
      </w:pPr>
      <w:r>
        <w:rPr>
          <w:rFonts w:hint="eastAsia" w:ascii="宋体" w:hAnsi="宋体" w:cs="宋体"/>
          <w:szCs w:val="21"/>
          <w:highlight w:val="none"/>
        </w:rPr>
        <w:t>投标人应提供详细的培训方案，主要内容包括培训计划、培训目标、培训内容、授课人员等，通过培训使用人员能够了解本项目政务云架构、运维方法、防护方案、政务云监管平台使用方法，每年至少培训1次。</w:t>
      </w:r>
    </w:p>
    <w:p>
      <w:pPr>
        <w:spacing w:line="360" w:lineRule="auto"/>
        <w:ind w:firstLine="465"/>
        <w:rPr>
          <w:rFonts w:ascii="宋体" w:hAnsi="宋体" w:cs="宋体"/>
          <w:b/>
          <w:szCs w:val="21"/>
          <w:highlight w:val="none"/>
        </w:rPr>
      </w:pPr>
      <w:r>
        <w:rPr>
          <w:rFonts w:hint="eastAsia" w:ascii="宋体" w:hAnsi="宋体" w:cs="宋体"/>
          <w:b/>
          <w:szCs w:val="21"/>
          <w:highlight w:val="none"/>
        </w:rPr>
        <w:t>（四）租用期内服务</w:t>
      </w:r>
    </w:p>
    <w:p>
      <w:pPr>
        <w:spacing w:line="360" w:lineRule="auto"/>
        <w:ind w:firstLine="465"/>
        <w:rPr>
          <w:rFonts w:ascii="宋体" w:hAnsi="宋体" w:cs="宋体"/>
          <w:szCs w:val="21"/>
          <w:highlight w:val="none"/>
        </w:rPr>
      </w:pPr>
      <w:r>
        <w:rPr>
          <w:rFonts w:hint="eastAsia" w:ascii="宋体" w:hAnsi="宋体" w:cs="宋体"/>
          <w:szCs w:val="21"/>
          <w:highlight w:val="none"/>
        </w:rPr>
        <w:t>投标人应提供本项目租用期内的详细服务方案，应包括运行维护、维护团队、应急处置、现场技术支持等内容。</w:t>
      </w:r>
    </w:p>
    <w:p>
      <w:pPr>
        <w:spacing w:line="360" w:lineRule="auto"/>
        <w:ind w:firstLine="465"/>
        <w:rPr>
          <w:rFonts w:ascii="宋体" w:hAnsi="宋体" w:cs="宋体"/>
          <w:szCs w:val="21"/>
          <w:highlight w:val="none"/>
        </w:rPr>
      </w:pPr>
      <w:r>
        <w:rPr>
          <w:rFonts w:hint="eastAsia" w:ascii="宋体" w:hAnsi="宋体" w:cs="宋体"/>
          <w:szCs w:val="21"/>
          <w:highlight w:val="none"/>
        </w:rPr>
        <w:t>投标人应提供7×24热线人工值守以及响应电话，7×24全天候技术支持响应，当设备出现故障时，采购人在任何时候可以得到及时响应和故障及时解决。</w:t>
      </w:r>
    </w:p>
    <w:p>
      <w:pPr>
        <w:spacing w:line="360" w:lineRule="auto"/>
        <w:ind w:firstLine="465"/>
        <w:rPr>
          <w:rFonts w:ascii="宋体" w:hAnsi="宋体" w:cs="宋体"/>
          <w:b/>
          <w:szCs w:val="21"/>
          <w:highlight w:val="none"/>
        </w:rPr>
      </w:pPr>
      <w:r>
        <w:rPr>
          <w:rFonts w:hint="eastAsia" w:ascii="宋体" w:hAnsi="宋体" w:cs="宋体"/>
          <w:b/>
          <w:szCs w:val="21"/>
          <w:highlight w:val="none"/>
        </w:rPr>
        <w:t>1. 运行维护</w:t>
      </w:r>
    </w:p>
    <w:p>
      <w:pPr>
        <w:spacing w:line="360" w:lineRule="auto"/>
        <w:ind w:firstLine="540"/>
        <w:rPr>
          <w:rFonts w:ascii="宋体" w:hAnsi="宋体" w:cs="宋体"/>
          <w:szCs w:val="21"/>
          <w:highlight w:val="none"/>
        </w:rPr>
      </w:pPr>
      <w:r>
        <w:rPr>
          <w:rFonts w:hint="eastAsia" w:ascii="宋体" w:hAnsi="宋体" w:cs="宋体"/>
          <w:szCs w:val="21"/>
          <w:highlight w:val="none"/>
        </w:rPr>
        <w:t>投标人应提供《运行维护方案》，内容应详细具体、可行且具有针对性，租用期内应当按照采购人的要求，定期进行巡检，保障正常运行使用。</w:t>
      </w:r>
    </w:p>
    <w:p>
      <w:pPr>
        <w:spacing w:line="360" w:lineRule="auto"/>
        <w:ind w:firstLine="540"/>
        <w:rPr>
          <w:rFonts w:ascii="宋体" w:hAnsi="宋体" w:cs="宋体"/>
          <w:szCs w:val="21"/>
          <w:highlight w:val="none"/>
        </w:rPr>
      </w:pPr>
      <w:r>
        <w:rPr>
          <w:rFonts w:hint="eastAsia" w:ascii="宋体" w:hAnsi="宋体" w:cs="宋体"/>
          <w:szCs w:val="21"/>
          <w:highlight w:val="none"/>
        </w:rPr>
        <w:t>投标人应提供可以独立部署的自动化运维工具和自动化运维平台，自动化运维工具支持自动化巡检、云平台补丁自动分发、批量远程脚本执行等功能；提供的自动化运维平台支持自动告警、运维即时通讯工具、告警升级、工单与故障报告自动分发和认领等功能（提供所投产品此项要求的系统截图或其他有效证明文件）。</w:t>
      </w:r>
    </w:p>
    <w:p>
      <w:pPr>
        <w:spacing w:line="360" w:lineRule="auto"/>
        <w:ind w:firstLine="540"/>
        <w:rPr>
          <w:rFonts w:ascii="宋体" w:hAnsi="宋体" w:cs="宋体"/>
          <w:szCs w:val="21"/>
          <w:highlight w:val="none"/>
        </w:rPr>
      </w:pPr>
      <w:r>
        <w:rPr>
          <w:rFonts w:hint="eastAsia" w:ascii="宋体" w:hAnsi="宋体" w:cs="宋体"/>
          <w:szCs w:val="21"/>
          <w:highlight w:val="none"/>
        </w:rPr>
        <w:t>投标人应保证业务应用系统的支撑环境，包括但不限于服务器、网络、存储等相关物理环境能满足网络安全三级等保要求，依据招标需求向采购人提供完整、可行的安全防护设计方案。</w:t>
      </w:r>
    </w:p>
    <w:p>
      <w:pPr>
        <w:spacing w:line="360" w:lineRule="auto"/>
        <w:rPr>
          <w:rFonts w:ascii="宋体" w:hAnsi="宋体" w:cs="宋体"/>
          <w:szCs w:val="21"/>
          <w:highlight w:val="none"/>
        </w:rPr>
      </w:pPr>
      <w:r>
        <w:rPr>
          <w:rFonts w:hint="eastAsia" w:ascii="宋体" w:hAnsi="宋体" w:cs="宋体"/>
          <w:szCs w:val="21"/>
          <w:highlight w:val="none"/>
        </w:rPr>
        <w:t xml:space="preserve">    （1）巡检维护</w:t>
      </w:r>
    </w:p>
    <w:p>
      <w:pPr>
        <w:spacing w:line="360" w:lineRule="auto"/>
        <w:ind w:firstLine="480"/>
        <w:rPr>
          <w:rFonts w:ascii="宋体" w:hAnsi="宋体" w:cs="宋体"/>
          <w:szCs w:val="21"/>
          <w:highlight w:val="none"/>
        </w:rPr>
      </w:pPr>
      <w:r>
        <w:rPr>
          <w:rFonts w:hint="eastAsia" w:ascii="宋体" w:hAnsi="宋体" w:cs="宋体"/>
          <w:szCs w:val="21"/>
          <w:highlight w:val="none"/>
        </w:rPr>
        <w:t>投标人需利用监控系统或人工对硬件设备及应用系统的运行情况进行7*24小时的不间断巡检监控，及时发现安全隐患，通知相关人员及时处理，并形成监控报告。</w:t>
      </w:r>
    </w:p>
    <w:p>
      <w:pPr>
        <w:spacing w:line="360" w:lineRule="auto"/>
        <w:rPr>
          <w:rFonts w:ascii="宋体" w:hAnsi="宋体" w:cs="宋体"/>
          <w:szCs w:val="21"/>
          <w:highlight w:val="none"/>
        </w:rPr>
      </w:pPr>
      <w:r>
        <w:rPr>
          <w:rFonts w:hint="eastAsia" w:ascii="宋体" w:hAnsi="宋体" w:cs="宋体"/>
          <w:szCs w:val="21"/>
          <w:highlight w:val="none"/>
        </w:rPr>
        <w:t xml:space="preserve">    （2）巡检维护报告</w:t>
      </w:r>
    </w:p>
    <w:p>
      <w:pPr>
        <w:spacing w:line="360" w:lineRule="auto"/>
        <w:ind w:firstLine="540"/>
        <w:rPr>
          <w:rFonts w:ascii="宋体" w:hAnsi="宋体" w:cs="宋体"/>
          <w:szCs w:val="21"/>
          <w:highlight w:val="none"/>
        </w:rPr>
      </w:pPr>
      <w:r>
        <w:rPr>
          <w:rFonts w:hint="eastAsia" w:ascii="宋体" w:hAnsi="宋体" w:cs="宋体"/>
          <w:szCs w:val="21"/>
          <w:highlight w:val="none"/>
        </w:rPr>
        <w:t>巡检维护报告包括：巡检内容概述、云资源主要指标及运行状态、故障现象及处理、软件更新情况、巡检日期等。</w:t>
      </w:r>
    </w:p>
    <w:p>
      <w:pPr>
        <w:spacing w:line="360" w:lineRule="auto"/>
        <w:ind w:firstLine="540"/>
        <w:rPr>
          <w:rFonts w:ascii="宋体" w:hAnsi="宋体" w:cs="宋体"/>
          <w:szCs w:val="21"/>
          <w:highlight w:val="none"/>
        </w:rPr>
      </w:pPr>
      <w:r>
        <w:rPr>
          <w:rFonts w:hint="eastAsia" w:ascii="宋体" w:hAnsi="宋体" w:cs="宋体"/>
          <w:szCs w:val="21"/>
          <w:highlight w:val="none"/>
        </w:rPr>
        <w:t>每次巡检维护工作完成，应向采购人提交巡检维护报告</w:t>
      </w:r>
    </w:p>
    <w:p>
      <w:pPr>
        <w:spacing w:line="360" w:lineRule="auto"/>
        <w:ind w:firstLine="540"/>
        <w:rPr>
          <w:rFonts w:ascii="宋体" w:hAnsi="宋体" w:cs="宋体"/>
          <w:b/>
          <w:szCs w:val="21"/>
          <w:highlight w:val="none"/>
        </w:rPr>
      </w:pPr>
      <w:r>
        <w:rPr>
          <w:rFonts w:hint="eastAsia" w:ascii="宋体" w:hAnsi="宋体" w:cs="宋体"/>
          <w:b/>
          <w:szCs w:val="21"/>
          <w:highlight w:val="none"/>
        </w:rPr>
        <w:t>2.维护团队</w:t>
      </w:r>
    </w:p>
    <w:p>
      <w:pPr>
        <w:spacing w:line="360" w:lineRule="auto"/>
        <w:ind w:firstLine="540"/>
        <w:rPr>
          <w:rFonts w:ascii="宋体" w:hAnsi="宋体" w:cs="宋体"/>
          <w:szCs w:val="21"/>
          <w:highlight w:val="none"/>
        </w:rPr>
      </w:pPr>
      <w:r>
        <w:rPr>
          <w:rFonts w:hint="eastAsia" w:ascii="宋体" w:hAnsi="宋体" w:cs="宋体"/>
          <w:szCs w:val="21"/>
          <w:highlight w:val="none"/>
        </w:rPr>
        <w:t>本项目租用期内，投标人应提供专业技术能力较强的专业维护团队，专门负责计算、存储、网络安全等资源运维保障工作，应明确维护团队成员职责任务。投标人应承诺质量保证期内维护团队成员相对稳定，人员数量不少于3人，且应具备2年以上云资源实施或运维工作经验，团队成员具有CISP资质证书。</w:t>
      </w:r>
    </w:p>
    <w:p>
      <w:pPr>
        <w:spacing w:line="360" w:lineRule="auto"/>
        <w:ind w:firstLine="540"/>
        <w:rPr>
          <w:rFonts w:ascii="宋体" w:hAnsi="宋体" w:cs="宋体"/>
          <w:szCs w:val="21"/>
          <w:highlight w:val="none"/>
        </w:rPr>
      </w:pPr>
      <w:r>
        <w:rPr>
          <w:rFonts w:hint="eastAsia" w:ascii="宋体" w:hAnsi="宋体" w:cs="宋体"/>
          <w:b/>
          <w:szCs w:val="21"/>
          <w:highlight w:val="none"/>
        </w:rPr>
        <w:t>3. 应急处置</w:t>
      </w:r>
    </w:p>
    <w:p>
      <w:pPr>
        <w:spacing w:line="360" w:lineRule="auto"/>
        <w:ind w:firstLine="540"/>
        <w:rPr>
          <w:rFonts w:ascii="宋体" w:hAnsi="宋体" w:cs="宋体"/>
          <w:szCs w:val="21"/>
          <w:highlight w:val="none"/>
        </w:rPr>
      </w:pPr>
      <w:r>
        <w:rPr>
          <w:rFonts w:hint="eastAsia" w:ascii="宋体" w:hAnsi="宋体" w:cs="宋体"/>
          <w:szCs w:val="21"/>
          <w:highlight w:val="none"/>
        </w:rPr>
        <w:t>投标人应提供详细具体可行且具有针对性的《应急预案》，确保设备突发故障得到及时有效处置，保障云资源安全稳定运行。</w:t>
      </w:r>
    </w:p>
    <w:p>
      <w:pPr>
        <w:spacing w:line="360" w:lineRule="auto"/>
        <w:ind w:firstLine="540"/>
        <w:rPr>
          <w:rFonts w:ascii="宋体" w:hAnsi="宋体" w:cs="宋体"/>
          <w:szCs w:val="21"/>
          <w:highlight w:val="none"/>
        </w:rPr>
      </w:pPr>
      <w:r>
        <w:rPr>
          <w:rFonts w:hint="eastAsia" w:ascii="宋体" w:hAnsi="宋体" w:cs="宋体"/>
          <w:szCs w:val="21"/>
          <w:highlight w:val="none"/>
        </w:rPr>
        <w:t>《应急预案》包括应急处置团队、成员职责分工及联系电话、应急处置流程、抢修时限等内容。</w:t>
      </w:r>
    </w:p>
    <w:p>
      <w:pPr>
        <w:spacing w:line="360" w:lineRule="auto"/>
        <w:ind w:firstLine="540"/>
        <w:rPr>
          <w:rFonts w:ascii="宋体" w:hAnsi="宋体" w:cs="宋体"/>
          <w:szCs w:val="21"/>
          <w:highlight w:val="none"/>
        </w:rPr>
      </w:pPr>
      <w:r>
        <w:rPr>
          <w:rFonts w:hint="eastAsia" w:ascii="宋体" w:hAnsi="宋体" w:cs="宋体"/>
          <w:szCs w:val="21"/>
          <w:highlight w:val="none"/>
        </w:rPr>
        <w:t>投标人应提供7×24小时专人电话支持服务，设备出现故障时，30分钟内响应，一般故障2小时内解决，重大故障4小时内解决；系统发生宕机问题时，投标人应在5分钟内响应。设备故障处理完成后，应向采购人提交应急处置情况报告。</w:t>
      </w:r>
    </w:p>
    <w:p>
      <w:pPr>
        <w:spacing w:line="360" w:lineRule="auto"/>
        <w:ind w:firstLine="465"/>
        <w:rPr>
          <w:rFonts w:ascii="宋体" w:hAnsi="宋体" w:cs="宋体"/>
          <w:b/>
          <w:szCs w:val="21"/>
          <w:highlight w:val="none"/>
        </w:rPr>
      </w:pPr>
      <w:r>
        <w:rPr>
          <w:rFonts w:hint="eastAsia" w:ascii="宋体" w:hAnsi="宋体" w:cs="宋体"/>
          <w:b/>
          <w:szCs w:val="21"/>
          <w:highlight w:val="none"/>
        </w:rPr>
        <w:t>4. 现场技术支持</w:t>
      </w:r>
    </w:p>
    <w:p>
      <w:pPr>
        <w:spacing w:line="360" w:lineRule="auto"/>
        <w:ind w:firstLine="540"/>
        <w:rPr>
          <w:rFonts w:ascii="宋体" w:hAnsi="宋体" w:cs="宋体"/>
          <w:szCs w:val="21"/>
          <w:highlight w:val="none"/>
        </w:rPr>
      </w:pPr>
      <w:r>
        <w:rPr>
          <w:rFonts w:hint="eastAsia" w:ascii="宋体" w:hAnsi="宋体" w:cs="宋体"/>
          <w:szCs w:val="21"/>
          <w:highlight w:val="none"/>
        </w:rPr>
        <w:t>（1）广播电视安全播出重要保障期（元旦、春节、两会、十一等），按照采购人要求，投标人负责安排1名技术人员现场值守服务，处置突发故障，保障系统稳定运行。</w:t>
      </w:r>
    </w:p>
    <w:p>
      <w:pPr>
        <w:spacing w:line="360" w:lineRule="auto"/>
        <w:ind w:firstLine="540"/>
        <w:rPr>
          <w:rFonts w:ascii="宋体" w:hAnsi="宋体" w:cs="宋体"/>
          <w:szCs w:val="21"/>
          <w:highlight w:val="none"/>
        </w:rPr>
      </w:pPr>
      <w:r>
        <w:rPr>
          <w:rFonts w:hint="eastAsia" w:ascii="宋体" w:hAnsi="宋体" w:cs="宋体"/>
          <w:szCs w:val="21"/>
          <w:highlight w:val="none"/>
        </w:rPr>
        <w:t>（2）技术人员到现场提供技术支持服务的交通、食宿等费用由中标人承担，且技术人员应遵守采购人现场的各项规章制度和安全操作规程，并服从采购人管理。</w:t>
      </w:r>
    </w:p>
    <w:p>
      <w:pPr>
        <w:spacing w:line="360" w:lineRule="auto"/>
        <w:ind w:firstLine="540"/>
        <w:rPr>
          <w:rFonts w:ascii="宋体" w:hAnsi="宋体" w:cs="宋体"/>
          <w:szCs w:val="21"/>
          <w:highlight w:val="none"/>
        </w:rPr>
      </w:pPr>
      <w:r>
        <w:rPr>
          <w:rFonts w:hint="eastAsia" w:ascii="宋体" w:hAnsi="宋体" w:cs="宋体"/>
          <w:szCs w:val="21"/>
          <w:highlight w:val="none"/>
        </w:rPr>
        <w:t>（3）如遇严重软件故障、功能优化等问题，按照招标方要求，立即增派技术人员来现场支援解决。</w:t>
      </w:r>
    </w:p>
    <w:p>
      <w:pPr>
        <w:spacing w:line="360" w:lineRule="auto"/>
        <w:ind w:firstLine="465"/>
        <w:rPr>
          <w:rFonts w:ascii="宋体" w:hAnsi="宋体" w:cs="宋体"/>
          <w:b/>
          <w:szCs w:val="21"/>
          <w:highlight w:val="none"/>
        </w:rPr>
      </w:pPr>
      <w:r>
        <w:rPr>
          <w:rFonts w:hint="eastAsia" w:ascii="宋体" w:hAnsi="宋体" w:cs="宋体"/>
          <w:b/>
          <w:szCs w:val="21"/>
          <w:highlight w:val="none"/>
        </w:rPr>
        <w:t>5. 备品备件</w:t>
      </w:r>
    </w:p>
    <w:p>
      <w:pPr>
        <w:spacing w:line="360" w:lineRule="auto"/>
        <w:ind w:firstLine="420" w:firstLineChars="200"/>
        <w:rPr>
          <w:rFonts w:ascii="宋体" w:hAnsi="宋体" w:cs="宋体"/>
          <w:szCs w:val="21"/>
          <w:highlight w:val="none"/>
        </w:rPr>
      </w:pPr>
      <w:r>
        <w:rPr>
          <w:rFonts w:hint="eastAsia" w:ascii="宋体" w:hAnsi="宋体" w:cs="宋体"/>
          <w:szCs w:val="21"/>
          <w:highlight w:val="none"/>
          <w:lang w:val="en-GB"/>
        </w:rPr>
        <w:t>投标人应备有充足的</w:t>
      </w:r>
      <w:r>
        <w:rPr>
          <w:rFonts w:hint="eastAsia" w:ascii="宋体" w:hAnsi="宋体" w:cs="宋体"/>
          <w:szCs w:val="21"/>
          <w:highlight w:val="none"/>
        </w:rPr>
        <w:t>备品</w:t>
      </w:r>
      <w:r>
        <w:rPr>
          <w:rFonts w:hint="eastAsia" w:ascii="宋体" w:hAnsi="宋体" w:cs="宋体"/>
          <w:szCs w:val="21"/>
          <w:highlight w:val="none"/>
          <w:lang w:val="en-GB"/>
        </w:rPr>
        <w:t>备件，能为采购人提供7×24小时优质、迅速、及时的</w:t>
      </w:r>
      <w:r>
        <w:rPr>
          <w:rFonts w:hint="eastAsia" w:ascii="宋体" w:hAnsi="宋体" w:cs="宋体"/>
          <w:szCs w:val="21"/>
          <w:highlight w:val="none"/>
        </w:rPr>
        <w:t>备品</w:t>
      </w:r>
      <w:r>
        <w:rPr>
          <w:rFonts w:hint="eastAsia" w:ascii="宋体" w:hAnsi="宋体" w:cs="宋体"/>
          <w:szCs w:val="21"/>
          <w:highlight w:val="none"/>
          <w:lang w:val="en-GB"/>
        </w:rPr>
        <w:t>备件技术支持，不能由于备品备件不足而影响采购人正常操作使用和业务开展。</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投标人应提供详细的备品备件清单。</w:t>
      </w:r>
    </w:p>
    <w:p>
      <w:pPr>
        <w:spacing w:line="360" w:lineRule="auto"/>
        <w:contextualSpacing/>
        <w:rPr>
          <w:sz w:val="24"/>
          <w:highlight w:val="none"/>
        </w:rPr>
      </w:pPr>
    </w:p>
    <w:p>
      <w:pPr>
        <w:pStyle w:val="10"/>
        <w:numPr>
          <w:ilvl w:val="0"/>
          <w:numId w:val="2"/>
        </w:numPr>
        <w:spacing w:line="360" w:lineRule="auto"/>
        <w:ind w:firstLineChars="0"/>
        <w:contextualSpacing/>
        <w:rPr>
          <w:rFonts w:ascii="Times New Roman" w:hAnsi="Times New Roman"/>
          <w:b/>
          <w:sz w:val="24"/>
          <w:szCs w:val="24"/>
          <w:highlight w:val="none"/>
        </w:rPr>
      </w:pPr>
      <w:r>
        <w:rPr>
          <w:rFonts w:ascii="Times New Roman" w:hAnsi="Times New Roman"/>
          <w:b/>
          <w:sz w:val="24"/>
          <w:szCs w:val="24"/>
          <w:highlight w:val="none"/>
        </w:rPr>
        <w:t>验收标准</w:t>
      </w:r>
    </w:p>
    <w:p>
      <w:pPr>
        <w:spacing w:line="360" w:lineRule="auto"/>
        <w:ind w:left="500"/>
        <w:rPr>
          <w:rFonts w:ascii="宋体" w:hAnsi="宋体" w:cs="宋体"/>
          <w:szCs w:val="21"/>
          <w:highlight w:val="none"/>
          <w:lang w:val="en-GB"/>
        </w:rPr>
      </w:pPr>
      <w:r>
        <w:rPr>
          <w:rFonts w:hint="eastAsia" w:ascii="宋体" w:hAnsi="宋体" w:cs="宋体"/>
          <w:szCs w:val="21"/>
          <w:highlight w:val="none"/>
          <w:lang w:val="en-GB"/>
        </w:rPr>
        <w:t>1.投标人提供的政务云基础服务、扩展服务符合招标文件要求。</w:t>
      </w:r>
    </w:p>
    <w:p>
      <w:pPr>
        <w:spacing w:line="360" w:lineRule="auto"/>
        <w:ind w:left="500"/>
        <w:rPr>
          <w:rFonts w:ascii="宋体" w:hAnsi="宋体" w:cs="宋体"/>
          <w:szCs w:val="21"/>
          <w:highlight w:val="none"/>
          <w:lang w:val="en-GB"/>
        </w:rPr>
      </w:pPr>
      <w:r>
        <w:rPr>
          <w:rFonts w:hint="eastAsia" w:ascii="宋体" w:hAnsi="宋体" w:cs="宋体"/>
          <w:szCs w:val="21"/>
          <w:highlight w:val="none"/>
          <w:lang w:val="en-GB"/>
        </w:rPr>
        <w:t>2.服务期期满。</w:t>
      </w:r>
    </w:p>
    <w:p>
      <w:pPr>
        <w:spacing w:line="360" w:lineRule="auto"/>
        <w:ind w:left="500"/>
        <w:rPr>
          <w:rFonts w:ascii="宋体" w:hAnsi="宋体" w:cs="宋体"/>
          <w:szCs w:val="21"/>
          <w:highlight w:val="none"/>
          <w:lang w:val="en-GB"/>
        </w:rPr>
      </w:pPr>
      <w:r>
        <w:rPr>
          <w:rFonts w:hint="eastAsia" w:ascii="宋体" w:hAnsi="宋体" w:cs="宋体"/>
          <w:szCs w:val="21"/>
          <w:highlight w:val="none"/>
          <w:lang w:val="en-GB"/>
        </w:rPr>
        <w:t>3.相关报告齐全。</w:t>
      </w:r>
    </w:p>
    <w:p>
      <w:pPr>
        <w:spacing w:line="360" w:lineRule="auto"/>
        <w:ind w:left="500"/>
        <w:rPr>
          <w:rFonts w:ascii="宋体" w:hAnsi="宋体" w:cs="宋体"/>
          <w:szCs w:val="21"/>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2"/>
    <w:multiLevelType w:val="multilevel"/>
    <w:tmpl w:val="00000012"/>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EE5DFA"/>
    <w:rsid w:val="29D20428"/>
    <w:rsid w:val="400419F1"/>
    <w:rsid w:val="4996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iPriority w:val="0"/>
    <w:pPr>
      <w:keepNext/>
      <w:keepLines/>
      <w:autoSpaceDE w:val="0"/>
      <w:autoSpaceDN w:val="0"/>
      <w:adjustRightInd w:val="0"/>
      <w:spacing w:before="120" w:line="300" w:lineRule="auto"/>
      <w:jc w:val="center"/>
      <w:outlineLvl w:val="1"/>
    </w:pPr>
    <w:rPr>
      <w:rFonts w:ascii="Arial" w:hAnsi="Arial" w:eastAsia="黑体" w:cs="Times New Roman"/>
      <w:b/>
      <w:kern w:val="0"/>
      <w:sz w:val="30"/>
      <w:szCs w:val="20"/>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ind w:firstLine="420"/>
      <w:jc w:val="left"/>
    </w:pPr>
    <w:rPr>
      <w:rFonts w:ascii="宋体"/>
      <w:kern w:val="2"/>
      <w:sz w:val="24"/>
    </w:rPr>
  </w:style>
  <w:style w:type="paragraph" w:styleId="4">
    <w:name w:val="Salutation"/>
    <w:basedOn w:val="1"/>
    <w:next w:val="1"/>
    <w:qFormat/>
    <w:uiPriority w:val="0"/>
  </w:style>
  <w:style w:type="paragraph" w:styleId="5">
    <w:name w:val="Body Text"/>
    <w:basedOn w:val="1"/>
    <w:next w:val="6"/>
    <w:qFormat/>
    <w:uiPriority w:val="0"/>
    <w:pPr>
      <w:tabs>
        <w:tab w:val="left" w:pos="567"/>
      </w:tabs>
      <w:spacing w:before="120" w:line="22" w:lineRule="atLeast"/>
    </w:pPr>
    <w:rPr>
      <w:rFonts w:ascii="宋体" w:hAnsi="宋体" w:eastAsia="宋体" w:cs="Times New Roman"/>
      <w:sz w:val="24"/>
    </w:rPr>
  </w:style>
  <w:style w:type="paragraph" w:customStyle="1" w:styleId="6">
    <w:name w:val="目录 11"/>
    <w:next w:val="1"/>
    <w:qFormat/>
    <w:uiPriority w:val="0"/>
    <w:pPr>
      <w:wordWrap w:val="0"/>
      <w:jc w:val="both"/>
    </w:pPr>
    <w:rPr>
      <w:rFonts w:ascii="Calibri" w:hAnsi="Calibri" w:eastAsia="宋体" w:cs="Calibri"/>
      <w:sz w:val="21"/>
      <w:szCs w:val="22"/>
      <w:lang w:val="en-US" w:eastAsia="zh-CN" w:bidi="ar-SA"/>
    </w:rPr>
  </w:style>
  <w:style w:type="paragraph" w:customStyle="1" w:styleId="9">
    <w:name w:val="_Style 6"/>
    <w:basedOn w:val="1"/>
    <w:qFormat/>
    <w:uiPriority w:val="0"/>
    <w:pPr>
      <w:ind w:firstLine="420" w:firstLineChars="200"/>
    </w:pPr>
    <w:rPr>
      <w:rFonts w:ascii="Calibri" w:hAnsi="Calibri" w:eastAsia="宋体" w:cs="Times New Roman"/>
      <w:szCs w:val="22"/>
    </w:rPr>
  </w:style>
  <w:style w:type="paragraph" w:styleId="10">
    <w:name w:val="List Paragraph"/>
    <w:basedOn w:val="1"/>
    <w:qFormat/>
    <w:uiPriority w:val="0"/>
    <w:pPr>
      <w:ind w:firstLine="420" w:firstLineChars="200"/>
    </w:pPr>
    <w:rPr>
      <w:rFonts w:ascii="Calibri" w:hAnsi="Calibri"/>
      <w:kern w:val="2"/>
      <w:szCs w:val="22"/>
    </w:rPr>
  </w:style>
  <w:style w:type="paragraph" w:customStyle="1" w:styleId="11">
    <w:name w:val="Default"/>
    <w:qFormat/>
    <w:uiPriority w:val="0"/>
    <w:pPr>
      <w:widowControl w:val="0"/>
      <w:autoSpaceDE w:val="0"/>
      <w:autoSpaceDN w:val="0"/>
      <w:adjustRightInd w:val="0"/>
    </w:pPr>
    <w:rPr>
      <w:rFonts w:ascii="Symbol" w:hAnsi="Symbol" w:eastAsia="宋体" w:cs="Symbol"/>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2024-03-08T03:39:00Z</dcterms:created>
  <dc:creator>admin</dc:creator>
  <cp:lastModifiedBy>admin</cp:lastModifiedBy>
  <dcterms:modified xsi:type="dcterms:W3CDTF">2024-04-25T06:19:30Z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