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spacing w:line="240" w:lineRule="auto"/>
        <w:rPr>
          <w:rFonts w:ascii="宋体" w:hAnsi="宋体" w:cs="楷体_GB2312"/>
          <w:sz w:val="30"/>
          <w:szCs w:val="30"/>
        </w:rPr>
      </w:pPr>
    </w:p>
    <w:p>
      <w:pPr>
        <w:adjustRightInd/>
        <w:spacing w:line="240" w:lineRule="auto"/>
        <w:rPr>
          <w:rFonts w:ascii="宋体" w:hAnsi="宋体" w:cs="楷体_GB2312"/>
          <w:sz w:val="30"/>
          <w:szCs w:val="30"/>
        </w:rPr>
      </w:pPr>
    </w:p>
    <w:p>
      <w:pPr>
        <w:adjustRightInd/>
        <w:spacing w:line="240" w:lineRule="auto"/>
        <w:jc w:val="center"/>
        <w:rPr>
          <w:rFonts w:ascii="宋体" w:hAnsi="宋体"/>
          <w:sz w:val="84"/>
        </w:rPr>
      </w:pPr>
    </w:p>
    <w:p>
      <w:pPr>
        <w:adjustRightInd/>
        <w:spacing w:line="240" w:lineRule="auto"/>
        <w:jc w:val="center"/>
        <w:rPr>
          <w:rFonts w:ascii="宋体" w:hAnsi="宋体"/>
          <w:sz w:val="84"/>
        </w:rPr>
      </w:pPr>
      <w:r>
        <w:rPr>
          <w:rFonts w:hint="eastAsia" w:ascii="宋体" w:hAnsi="宋体"/>
          <w:sz w:val="84"/>
        </w:rPr>
        <w:t>招 标 文 件</w:t>
      </w:r>
    </w:p>
    <w:p>
      <w:pPr>
        <w:adjustRightInd/>
        <w:spacing w:line="620" w:lineRule="exact"/>
        <w:jc w:val="both"/>
        <w:rPr>
          <w:rFonts w:ascii="宋体" w:hAnsi="宋体"/>
          <w:sz w:val="84"/>
        </w:rPr>
      </w:pPr>
    </w:p>
    <w:p>
      <w:pPr>
        <w:adjustRightInd/>
        <w:spacing w:line="620" w:lineRule="exact"/>
        <w:jc w:val="both"/>
        <w:rPr>
          <w:rFonts w:ascii="宋体" w:hAnsi="宋体"/>
          <w:sz w:val="84"/>
        </w:rPr>
      </w:pPr>
    </w:p>
    <w:p>
      <w:pPr>
        <w:adjustRightInd/>
        <w:spacing w:line="620" w:lineRule="exact"/>
        <w:jc w:val="both"/>
        <w:rPr>
          <w:rFonts w:ascii="宋体" w:hAnsi="宋体"/>
          <w:sz w:val="84"/>
        </w:rPr>
      </w:pPr>
    </w:p>
    <w:p>
      <w:pPr>
        <w:adjustRightInd/>
        <w:spacing w:line="620" w:lineRule="exact"/>
        <w:jc w:val="both"/>
        <w:rPr>
          <w:rFonts w:ascii="宋体" w:hAnsi="宋体"/>
          <w:sz w:val="32"/>
          <w:szCs w:val="32"/>
        </w:rPr>
      </w:pPr>
      <w:r>
        <w:rPr>
          <w:rFonts w:hint="eastAsia" w:ascii="宋体" w:hAnsi="宋体"/>
          <w:sz w:val="32"/>
          <w:szCs w:val="32"/>
        </w:rPr>
        <w:t xml:space="preserve">      采购编号：</w:t>
      </w:r>
      <w:r>
        <w:rPr>
          <w:rFonts w:hint="eastAsia" w:ascii="宋体" w:hAnsi="宋体"/>
          <w:bCs/>
          <w:sz w:val="32"/>
          <w:szCs w:val="32"/>
        </w:rPr>
        <w:t>BGPC-G23066</w:t>
      </w:r>
    </w:p>
    <w:p>
      <w:pPr>
        <w:ind w:left="1600" w:hanging="1600" w:hangingChars="500"/>
        <w:rPr>
          <w:rFonts w:ascii="宋体" w:hAnsi="宋体"/>
          <w:sz w:val="32"/>
          <w:szCs w:val="32"/>
        </w:rPr>
      </w:pPr>
      <w:r>
        <w:rPr>
          <w:rFonts w:hint="eastAsia" w:ascii="宋体" w:hAnsi="宋体"/>
          <w:sz w:val="32"/>
          <w:szCs w:val="32"/>
        </w:rPr>
        <w:t xml:space="preserve">      项目名称：监测调度网络和政务云租用</w:t>
      </w:r>
    </w:p>
    <w:p>
      <w:pPr>
        <w:adjustRightInd/>
        <w:spacing w:line="620" w:lineRule="exact"/>
        <w:jc w:val="both"/>
        <w:rPr>
          <w:rFonts w:ascii="宋体" w:hAnsi="宋体"/>
          <w:sz w:val="32"/>
          <w:szCs w:val="32"/>
        </w:rPr>
      </w:pPr>
    </w:p>
    <w:p>
      <w:pPr>
        <w:adjustRightInd/>
        <w:spacing w:line="620" w:lineRule="exact"/>
        <w:jc w:val="both"/>
        <w:rPr>
          <w:rFonts w:ascii="宋体" w:hAnsi="宋体"/>
          <w:sz w:val="32"/>
          <w:szCs w:val="32"/>
        </w:rPr>
      </w:pPr>
    </w:p>
    <w:p>
      <w:pPr>
        <w:adjustRightInd/>
        <w:spacing w:line="620" w:lineRule="exact"/>
        <w:jc w:val="both"/>
        <w:rPr>
          <w:rFonts w:ascii="宋体" w:hAnsi="宋体"/>
          <w:sz w:val="32"/>
          <w:szCs w:val="32"/>
        </w:rPr>
      </w:pPr>
    </w:p>
    <w:p>
      <w:pPr>
        <w:adjustRightInd/>
        <w:spacing w:line="620" w:lineRule="exact"/>
        <w:jc w:val="both"/>
        <w:rPr>
          <w:rFonts w:ascii="宋体" w:hAnsi="宋体"/>
          <w:sz w:val="32"/>
          <w:szCs w:val="32"/>
        </w:rPr>
      </w:pPr>
    </w:p>
    <w:p>
      <w:pPr>
        <w:adjustRightInd/>
        <w:spacing w:line="620" w:lineRule="exact"/>
        <w:jc w:val="both"/>
        <w:rPr>
          <w:rFonts w:ascii="宋体" w:hAnsi="宋体"/>
          <w:sz w:val="32"/>
          <w:szCs w:val="32"/>
        </w:rPr>
      </w:pPr>
    </w:p>
    <w:p>
      <w:pPr>
        <w:adjustRightInd/>
        <w:spacing w:line="620" w:lineRule="exact"/>
        <w:jc w:val="both"/>
        <w:rPr>
          <w:rFonts w:ascii="宋体" w:hAnsi="宋体"/>
          <w:sz w:val="32"/>
          <w:szCs w:val="32"/>
        </w:rPr>
      </w:pPr>
    </w:p>
    <w:p>
      <w:pPr>
        <w:adjustRightInd/>
        <w:spacing w:line="620" w:lineRule="exact"/>
        <w:rPr>
          <w:rFonts w:ascii="宋体" w:hAnsi="宋体"/>
          <w:sz w:val="32"/>
          <w:szCs w:val="32"/>
        </w:rPr>
      </w:pPr>
    </w:p>
    <w:p>
      <w:pPr>
        <w:adjustRightInd/>
        <w:spacing w:line="620" w:lineRule="exact"/>
        <w:jc w:val="center"/>
        <w:rPr>
          <w:rFonts w:ascii="宋体" w:hAnsi="宋体"/>
          <w:sz w:val="32"/>
          <w:szCs w:val="32"/>
        </w:rPr>
      </w:pPr>
      <w:r>
        <w:rPr>
          <w:rFonts w:hint="eastAsia" w:ascii="宋体" w:hAnsi="宋体"/>
          <w:sz w:val="32"/>
          <w:szCs w:val="32"/>
        </w:rPr>
        <w:t>北京市政府采购中心</w:t>
      </w:r>
    </w:p>
    <w:p>
      <w:pPr>
        <w:adjustRightInd/>
        <w:spacing w:line="620" w:lineRule="exact"/>
        <w:jc w:val="center"/>
        <w:rPr>
          <w:rFonts w:ascii="宋体" w:hAnsi="宋体"/>
          <w:sz w:val="32"/>
          <w:szCs w:val="32"/>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sz w:val="32"/>
          <w:szCs w:val="32"/>
        </w:rPr>
        <w:t>二○二三年四月</w:t>
      </w:r>
    </w:p>
    <w:p>
      <w:pPr>
        <w:snapToGrid w:val="0"/>
        <w:spacing w:line="240" w:lineRule="auto"/>
        <w:jc w:val="center"/>
        <w:rPr>
          <w:rFonts w:ascii="宋体" w:hAnsi="宋体"/>
          <w:b/>
          <w:sz w:val="28"/>
          <w:szCs w:val="28"/>
        </w:rPr>
      </w:pPr>
      <w:r>
        <w:rPr>
          <w:rFonts w:hint="eastAsia" w:ascii="宋体" w:hAnsi="宋体" w:cs="宋体"/>
          <w:b/>
          <w:bCs/>
          <w:kern w:val="44"/>
          <w:sz w:val="28"/>
        </w:rPr>
        <w:t>目    录</w:t>
      </w:r>
    </w:p>
    <w:p>
      <w:pPr>
        <w:snapToGrid w:val="0"/>
        <w:spacing w:line="240" w:lineRule="auto"/>
        <w:jc w:val="both"/>
        <w:rPr>
          <w:rFonts w:ascii="宋体" w:hAnsi="宋体"/>
          <w:sz w:val="21"/>
          <w:szCs w:val="21"/>
        </w:rPr>
      </w:pPr>
    </w:p>
    <w:p>
      <w:pPr>
        <w:pStyle w:val="16"/>
        <w:tabs>
          <w:tab w:val="right" w:leader="dot" w:pos="8721"/>
        </w:tabs>
        <w:spacing w:line="360" w:lineRule="auto"/>
        <w:rPr>
          <w:kern w:val="2"/>
          <w:sz w:val="21"/>
          <w:szCs w:val="21"/>
        </w:rPr>
      </w:pPr>
      <w:r>
        <w:rPr>
          <w:rFonts w:hint="eastAsia" w:ascii="宋体" w:hAnsi="宋体" w:cs="微软雅黑"/>
          <w:sz w:val="21"/>
          <w:szCs w:val="21"/>
        </w:rPr>
        <w:fldChar w:fldCharType="begin"/>
      </w:r>
      <w:r>
        <w:rPr>
          <w:rFonts w:hint="eastAsia" w:ascii="宋体" w:hAnsi="宋体" w:cs="微软雅黑"/>
          <w:sz w:val="21"/>
          <w:szCs w:val="21"/>
        </w:rPr>
        <w:instrText xml:space="preserve">TOC \o "1-1" \h \u </w:instrText>
      </w:r>
      <w:r>
        <w:rPr>
          <w:rFonts w:hint="eastAsia" w:ascii="宋体" w:hAnsi="宋体" w:cs="微软雅黑"/>
          <w:sz w:val="21"/>
          <w:szCs w:val="21"/>
        </w:rPr>
        <w:fldChar w:fldCharType="separate"/>
      </w:r>
      <w:r>
        <w:fldChar w:fldCharType="begin"/>
      </w:r>
      <w:r>
        <w:instrText xml:space="preserve"> HYPERLINK \l "_Toc466015310" </w:instrText>
      </w:r>
      <w:r>
        <w:fldChar w:fldCharType="separate"/>
      </w:r>
      <w:r>
        <w:rPr>
          <w:rStyle w:val="23"/>
          <w:rFonts w:hint="eastAsia" w:ascii="宋体" w:hAnsi="宋体"/>
          <w:sz w:val="21"/>
          <w:szCs w:val="21"/>
        </w:rPr>
        <w:t>第一部分 投标</w:t>
      </w:r>
      <w:bookmarkStart w:id="0" w:name="_Hlt127289764"/>
      <w:r>
        <w:rPr>
          <w:rStyle w:val="23"/>
          <w:rFonts w:hint="eastAsia" w:ascii="宋体" w:hAnsi="宋体"/>
          <w:sz w:val="21"/>
          <w:szCs w:val="21"/>
        </w:rPr>
        <w:t>邀</w:t>
      </w:r>
      <w:bookmarkEnd w:id="0"/>
      <w:r>
        <w:rPr>
          <w:rStyle w:val="23"/>
          <w:rFonts w:hint="eastAsia" w:ascii="宋体" w:hAnsi="宋体"/>
          <w:sz w:val="21"/>
          <w:szCs w:val="21"/>
        </w:rPr>
        <w:t>请</w:t>
      </w:r>
      <w:r>
        <w:rPr>
          <w:sz w:val="21"/>
          <w:szCs w:val="21"/>
        </w:rPr>
        <w:tab/>
      </w:r>
      <w:r>
        <w:rPr>
          <w:sz w:val="21"/>
          <w:szCs w:val="21"/>
        </w:rPr>
        <w:fldChar w:fldCharType="begin"/>
      </w:r>
      <w:r>
        <w:rPr>
          <w:sz w:val="21"/>
          <w:szCs w:val="21"/>
        </w:rPr>
        <w:instrText xml:space="preserve"> PAGEREF _Toc466015310 \h </w:instrText>
      </w:r>
      <w:r>
        <w:rPr>
          <w:sz w:val="21"/>
          <w:szCs w:val="21"/>
        </w:rPr>
        <w:fldChar w:fldCharType="separate"/>
      </w:r>
      <w:r>
        <w:rPr>
          <w:sz w:val="21"/>
          <w:szCs w:val="21"/>
        </w:rPr>
        <w:t>2</w:t>
      </w:r>
      <w:r>
        <w:rPr>
          <w:sz w:val="21"/>
          <w:szCs w:val="21"/>
        </w:rPr>
        <w:fldChar w:fldCharType="end"/>
      </w:r>
      <w:r>
        <w:rPr>
          <w:sz w:val="21"/>
          <w:szCs w:val="21"/>
        </w:rPr>
        <w:fldChar w:fldCharType="end"/>
      </w:r>
    </w:p>
    <w:p>
      <w:pPr>
        <w:pStyle w:val="16"/>
        <w:tabs>
          <w:tab w:val="right" w:leader="dot" w:pos="8721"/>
        </w:tabs>
        <w:spacing w:line="360" w:lineRule="auto"/>
        <w:rPr>
          <w:kern w:val="2"/>
          <w:sz w:val="21"/>
          <w:szCs w:val="21"/>
        </w:rPr>
      </w:pPr>
      <w:r>
        <w:fldChar w:fldCharType="begin"/>
      </w:r>
      <w:r>
        <w:instrText xml:space="preserve"> HYPERLINK \l "_Toc466015311" </w:instrText>
      </w:r>
      <w:r>
        <w:fldChar w:fldCharType="separate"/>
      </w:r>
      <w:r>
        <w:rPr>
          <w:rStyle w:val="23"/>
          <w:rFonts w:hint="eastAsia" w:ascii="宋体" w:hAnsi="宋体"/>
          <w:sz w:val="21"/>
          <w:szCs w:val="21"/>
        </w:rPr>
        <w:t>第二部分 投标人</w:t>
      </w:r>
      <w:bookmarkStart w:id="1" w:name="_Hlt128749574"/>
      <w:r>
        <w:rPr>
          <w:rStyle w:val="23"/>
          <w:rFonts w:hint="eastAsia" w:ascii="宋体" w:hAnsi="宋体"/>
          <w:sz w:val="21"/>
          <w:szCs w:val="21"/>
        </w:rPr>
        <w:t>须</w:t>
      </w:r>
      <w:bookmarkEnd w:id="1"/>
      <w:r>
        <w:rPr>
          <w:rStyle w:val="23"/>
          <w:rFonts w:hint="eastAsia" w:ascii="宋体" w:hAnsi="宋体"/>
          <w:sz w:val="21"/>
          <w:szCs w:val="21"/>
        </w:rPr>
        <w:t>知前附表</w:t>
      </w:r>
      <w:r>
        <w:rPr>
          <w:sz w:val="21"/>
          <w:szCs w:val="21"/>
        </w:rPr>
        <w:tab/>
      </w:r>
      <w:r>
        <w:rPr>
          <w:sz w:val="21"/>
          <w:szCs w:val="21"/>
        </w:rPr>
        <w:fldChar w:fldCharType="begin"/>
      </w:r>
      <w:r>
        <w:rPr>
          <w:sz w:val="21"/>
          <w:szCs w:val="21"/>
        </w:rPr>
        <w:instrText xml:space="preserve"> PAGEREF _Toc466015311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16"/>
        <w:tabs>
          <w:tab w:val="right" w:leader="dot" w:pos="8721"/>
        </w:tabs>
        <w:spacing w:line="360" w:lineRule="auto"/>
        <w:rPr>
          <w:kern w:val="2"/>
          <w:sz w:val="21"/>
          <w:szCs w:val="21"/>
        </w:rPr>
      </w:pPr>
      <w:r>
        <w:fldChar w:fldCharType="begin"/>
      </w:r>
      <w:r>
        <w:instrText xml:space="preserve"> HYPERLINK \l "_Toc466015312" </w:instrText>
      </w:r>
      <w:r>
        <w:fldChar w:fldCharType="separate"/>
      </w:r>
      <w:r>
        <w:rPr>
          <w:rStyle w:val="23"/>
          <w:rFonts w:hint="eastAsia" w:ascii="宋体" w:hAnsi="宋体"/>
          <w:sz w:val="21"/>
          <w:szCs w:val="21"/>
        </w:rPr>
        <w:t>第三部分 投标人须</w:t>
      </w:r>
      <w:bookmarkStart w:id="2" w:name="_Hlt126251272"/>
      <w:bookmarkStart w:id="3" w:name="_Hlt126251273"/>
      <w:r>
        <w:rPr>
          <w:rStyle w:val="23"/>
          <w:rFonts w:hint="eastAsia" w:ascii="宋体" w:hAnsi="宋体"/>
          <w:sz w:val="21"/>
          <w:szCs w:val="21"/>
        </w:rPr>
        <w:t>知</w:t>
      </w:r>
      <w:bookmarkEnd w:id="2"/>
      <w:bookmarkEnd w:id="3"/>
      <w:r>
        <w:rPr>
          <w:sz w:val="21"/>
          <w:szCs w:val="21"/>
        </w:rPr>
        <w:tab/>
      </w:r>
      <w:r>
        <w:rPr>
          <w:sz w:val="21"/>
          <w:szCs w:val="21"/>
        </w:rPr>
        <w:fldChar w:fldCharType="begin"/>
      </w:r>
      <w:r>
        <w:rPr>
          <w:sz w:val="21"/>
          <w:szCs w:val="21"/>
        </w:rPr>
        <w:instrText xml:space="preserve"> PAGEREF _Toc466015312 \h </w:instrText>
      </w:r>
      <w:r>
        <w:rPr>
          <w:sz w:val="21"/>
          <w:szCs w:val="21"/>
        </w:rPr>
        <w:fldChar w:fldCharType="separate"/>
      </w:r>
      <w:r>
        <w:rPr>
          <w:sz w:val="21"/>
          <w:szCs w:val="21"/>
        </w:rPr>
        <w:t>15</w:t>
      </w:r>
      <w:r>
        <w:rPr>
          <w:sz w:val="21"/>
          <w:szCs w:val="21"/>
        </w:rPr>
        <w:fldChar w:fldCharType="end"/>
      </w:r>
      <w:r>
        <w:rPr>
          <w:sz w:val="21"/>
          <w:szCs w:val="21"/>
        </w:rPr>
        <w:fldChar w:fldCharType="end"/>
      </w:r>
    </w:p>
    <w:p>
      <w:pPr>
        <w:pStyle w:val="16"/>
        <w:tabs>
          <w:tab w:val="right" w:leader="dot" w:pos="8721"/>
        </w:tabs>
        <w:spacing w:line="360" w:lineRule="auto"/>
        <w:rPr>
          <w:kern w:val="2"/>
          <w:sz w:val="21"/>
          <w:szCs w:val="21"/>
        </w:rPr>
      </w:pPr>
      <w:r>
        <w:fldChar w:fldCharType="begin"/>
      </w:r>
      <w:r>
        <w:instrText xml:space="preserve"> HYPERLINK \l "_Toc466015313" </w:instrText>
      </w:r>
      <w:r>
        <w:fldChar w:fldCharType="separate"/>
      </w:r>
      <w:r>
        <w:rPr>
          <w:rStyle w:val="23"/>
          <w:rFonts w:hint="eastAsia" w:ascii="宋体" w:hAnsi="宋体"/>
          <w:sz w:val="21"/>
          <w:szCs w:val="21"/>
        </w:rPr>
        <w:t xml:space="preserve">第四部分 </w:t>
      </w:r>
      <w:bookmarkStart w:id="4" w:name="_Hlt128749594"/>
      <w:r>
        <w:rPr>
          <w:rStyle w:val="23"/>
          <w:rFonts w:hint="eastAsia" w:ascii="宋体" w:hAnsi="宋体"/>
          <w:sz w:val="21"/>
          <w:szCs w:val="21"/>
        </w:rPr>
        <w:t>采</w:t>
      </w:r>
      <w:bookmarkEnd w:id="4"/>
      <w:bookmarkStart w:id="5" w:name="_Hlt45033262"/>
      <w:bookmarkStart w:id="6" w:name="_Hlt42179902"/>
      <w:bookmarkStart w:id="7" w:name="_Hlt45033263"/>
      <w:r>
        <w:rPr>
          <w:rStyle w:val="23"/>
          <w:rFonts w:hint="eastAsia" w:ascii="宋体" w:hAnsi="宋体"/>
          <w:sz w:val="21"/>
          <w:szCs w:val="21"/>
        </w:rPr>
        <w:t>购</w:t>
      </w:r>
      <w:bookmarkEnd w:id="5"/>
      <w:bookmarkEnd w:id="6"/>
      <w:bookmarkEnd w:id="7"/>
      <w:bookmarkStart w:id="8" w:name="_Hlt42177996"/>
      <w:bookmarkStart w:id="9" w:name="_Hlt42177995"/>
      <w:r>
        <w:rPr>
          <w:rStyle w:val="23"/>
          <w:rFonts w:hint="eastAsia" w:ascii="宋体" w:hAnsi="宋体"/>
          <w:sz w:val="21"/>
          <w:szCs w:val="21"/>
        </w:rPr>
        <w:t>需</w:t>
      </w:r>
      <w:bookmarkEnd w:id="8"/>
      <w:bookmarkEnd w:id="9"/>
      <w:bookmarkStart w:id="10" w:name="_Hlt43459032"/>
      <w:r>
        <w:rPr>
          <w:rStyle w:val="23"/>
          <w:rFonts w:hint="eastAsia" w:ascii="宋体" w:hAnsi="宋体"/>
          <w:sz w:val="21"/>
          <w:szCs w:val="21"/>
        </w:rPr>
        <w:t>求</w:t>
      </w:r>
      <w:bookmarkEnd w:id="10"/>
      <w:r>
        <w:rPr>
          <w:sz w:val="21"/>
          <w:szCs w:val="21"/>
        </w:rPr>
        <w:tab/>
      </w:r>
      <w:r>
        <w:rPr>
          <w:sz w:val="21"/>
          <w:szCs w:val="21"/>
        </w:rPr>
        <w:fldChar w:fldCharType="begin"/>
      </w:r>
      <w:r>
        <w:rPr>
          <w:sz w:val="21"/>
          <w:szCs w:val="21"/>
        </w:rPr>
        <w:instrText xml:space="preserve"> PAGEREF _Toc466015313 \h </w:instrText>
      </w:r>
      <w:r>
        <w:rPr>
          <w:sz w:val="21"/>
          <w:szCs w:val="21"/>
        </w:rPr>
        <w:fldChar w:fldCharType="separate"/>
      </w:r>
      <w:r>
        <w:rPr>
          <w:sz w:val="21"/>
          <w:szCs w:val="21"/>
        </w:rPr>
        <w:t>26</w:t>
      </w:r>
      <w:r>
        <w:rPr>
          <w:sz w:val="21"/>
          <w:szCs w:val="21"/>
        </w:rPr>
        <w:fldChar w:fldCharType="end"/>
      </w:r>
      <w:r>
        <w:rPr>
          <w:sz w:val="21"/>
          <w:szCs w:val="21"/>
        </w:rPr>
        <w:fldChar w:fldCharType="end"/>
      </w:r>
    </w:p>
    <w:p>
      <w:pPr>
        <w:pStyle w:val="16"/>
        <w:tabs>
          <w:tab w:val="right" w:leader="dot" w:pos="8721"/>
        </w:tabs>
        <w:spacing w:line="360" w:lineRule="auto"/>
        <w:rPr>
          <w:kern w:val="2"/>
          <w:sz w:val="21"/>
          <w:szCs w:val="21"/>
        </w:rPr>
      </w:pPr>
      <w:r>
        <w:fldChar w:fldCharType="begin"/>
      </w:r>
      <w:r>
        <w:instrText xml:space="preserve"> HYPERLINK \l "_Toc466015314" </w:instrText>
      </w:r>
      <w:r>
        <w:fldChar w:fldCharType="separate"/>
      </w:r>
      <w:r>
        <w:rPr>
          <w:rStyle w:val="23"/>
          <w:rFonts w:hint="eastAsia" w:ascii="宋体" w:hAnsi="宋体"/>
          <w:sz w:val="21"/>
          <w:szCs w:val="21"/>
        </w:rPr>
        <w:t>第五部分 评标</w:t>
      </w:r>
      <w:bookmarkStart w:id="11" w:name="_Hlt127289548"/>
      <w:r>
        <w:rPr>
          <w:rStyle w:val="23"/>
          <w:rFonts w:hint="eastAsia" w:ascii="宋体" w:hAnsi="宋体"/>
          <w:sz w:val="21"/>
          <w:szCs w:val="21"/>
        </w:rPr>
        <w:t>标</w:t>
      </w:r>
      <w:bookmarkEnd w:id="11"/>
      <w:r>
        <w:rPr>
          <w:rStyle w:val="23"/>
          <w:rFonts w:hint="eastAsia" w:ascii="宋体" w:hAnsi="宋体"/>
          <w:sz w:val="21"/>
          <w:szCs w:val="21"/>
        </w:rPr>
        <w:t>准和评</w:t>
      </w:r>
      <w:bookmarkStart w:id="12" w:name="_Hlt43458266"/>
      <w:bookmarkStart w:id="13" w:name="_Hlt43452204"/>
      <w:bookmarkStart w:id="14" w:name="_Hlt43458265"/>
      <w:r>
        <w:rPr>
          <w:rStyle w:val="23"/>
          <w:rFonts w:hint="eastAsia" w:ascii="宋体" w:hAnsi="宋体"/>
          <w:sz w:val="21"/>
          <w:szCs w:val="21"/>
        </w:rPr>
        <w:t>评</w:t>
      </w:r>
      <w:bookmarkEnd w:id="12"/>
      <w:bookmarkEnd w:id="13"/>
      <w:bookmarkEnd w:id="14"/>
      <w:r>
        <w:rPr>
          <w:rStyle w:val="23"/>
          <w:rFonts w:hint="eastAsia" w:ascii="宋体" w:hAnsi="宋体"/>
          <w:sz w:val="21"/>
          <w:szCs w:val="21"/>
        </w:rPr>
        <w:t>标方法</w:t>
      </w:r>
      <w:r>
        <w:rPr>
          <w:sz w:val="21"/>
          <w:szCs w:val="21"/>
        </w:rPr>
        <w:tab/>
      </w:r>
      <w:r>
        <w:rPr>
          <w:sz w:val="21"/>
          <w:szCs w:val="21"/>
        </w:rPr>
        <w:fldChar w:fldCharType="begin"/>
      </w:r>
      <w:r>
        <w:rPr>
          <w:sz w:val="21"/>
          <w:szCs w:val="21"/>
        </w:rPr>
        <w:instrText xml:space="preserve"> PAGEREF _Toc466015314 \h </w:instrText>
      </w:r>
      <w:r>
        <w:rPr>
          <w:sz w:val="21"/>
          <w:szCs w:val="21"/>
        </w:rPr>
        <w:fldChar w:fldCharType="separate"/>
      </w:r>
      <w:r>
        <w:rPr>
          <w:sz w:val="21"/>
          <w:szCs w:val="21"/>
        </w:rPr>
        <w:t>39</w:t>
      </w:r>
      <w:r>
        <w:rPr>
          <w:sz w:val="21"/>
          <w:szCs w:val="21"/>
        </w:rPr>
        <w:fldChar w:fldCharType="end"/>
      </w:r>
      <w:r>
        <w:rPr>
          <w:sz w:val="21"/>
          <w:szCs w:val="21"/>
        </w:rPr>
        <w:fldChar w:fldCharType="end"/>
      </w:r>
    </w:p>
    <w:p>
      <w:pPr>
        <w:pStyle w:val="16"/>
        <w:tabs>
          <w:tab w:val="right" w:leader="dot" w:pos="8721"/>
        </w:tabs>
        <w:spacing w:line="360" w:lineRule="auto"/>
        <w:rPr>
          <w:kern w:val="2"/>
          <w:sz w:val="21"/>
          <w:szCs w:val="21"/>
        </w:rPr>
      </w:pPr>
      <w:r>
        <w:fldChar w:fldCharType="begin"/>
      </w:r>
      <w:r>
        <w:instrText xml:space="preserve"> HYPERLINK \l "_Toc466015315" </w:instrText>
      </w:r>
      <w:r>
        <w:fldChar w:fldCharType="separate"/>
      </w:r>
      <w:r>
        <w:rPr>
          <w:rStyle w:val="23"/>
          <w:rFonts w:hint="eastAsia" w:ascii="宋体" w:hAnsi="宋体"/>
          <w:sz w:val="21"/>
          <w:szCs w:val="21"/>
        </w:rPr>
        <w:t>第六部分 政</w:t>
      </w:r>
      <w:bookmarkStart w:id="15" w:name="_Hlt127372879"/>
      <w:r>
        <w:rPr>
          <w:rStyle w:val="23"/>
          <w:rFonts w:hint="eastAsia" w:ascii="宋体" w:hAnsi="宋体"/>
          <w:sz w:val="21"/>
          <w:szCs w:val="21"/>
        </w:rPr>
        <w:t>府</w:t>
      </w:r>
      <w:bookmarkEnd w:id="15"/>
      <w:r>
        <w:rPr>
          <w:rStyle w:val="23"/>
          <w:rFonts w:hint="eastAsia" w:ascii="宋体" w:hAnsi="宋体"/>
          <w:sz w:val="21"/>
          <w:szCs w:val="21"/>
        </w:rPr>
        <w:t>采购合同</w:t>
      </w:r>
      <w:bookmarkStart w:id="16" w:name="_Hlt127264132"/>
      <w:r>
        <w:rPr>
          <w:sz w:val="21"/>
          <w:szCs w:val="21"/>
        </w:rPr>
        <w:tab/>
      </w:r>
      <w:bookmarkEnd w:id="16"/>
      <w:r>
        <w:rPr>
          <w:sz w:val="21"/>
          <w:szCs w:val="21"/>
        </w:rPr>
        <w:fldChar w:fldCharType="begin"/>
      </w:r>
      <w:r>
        <w:rPr>
          <w:sz w:val="21"/>
          <w:szCs w:val="21"/>
        </w:rPr>
        <w:instrText xml:space="preserve"> PAGEREF _Toc466015315 \h </w:instrText>
      </w:r>
      <w:r>
        <w:rPr>
          <w:sz w:val="21"/>
          <w:szCs w:val="21"/>
        </w:rPr>
        <w:fldChar w:fldCharType="separate"/>
      </w:r>
      <w:r>
        <w:rPr>
          <w:sz w:val="21"/>
          <w:szCs w:val="21"/>
        </w:rPr>
        <w:t>44</w:t>
      </w:r>
      <w:r>
        <w:rPr>
          <w:sz w:val="21"/>
          <w:szCs w:val="21"/>
        </w:rPr>
        <w:fldChar w:fldCharType="end"/>
      </w:r>
      <w:r>
        <w:rPr>
          <w:sz w:val="21"/>
          <w:szCs w:val="21"/>
        </w:rPr>
        <w:fldChar w:fldCharType="end"/>
      </w:r>
    </w:p>
    <w:p>
      <w:pPr>
        <w:pStyle w:val="16"/>
        <w:tabs>
          <w:tab w:val="right" w:leader="dot" w:pos="8721"/>
        </w:tabs>
        <w:spacing w:line="360" w:lineRule="auto"/>
        <w:rPr>
          <w:kern w:val="2"/>
          <w:sz w:val="21"/>
          <w:szCs w:val="21"/>
        </w:rPr>
      </w:pPr>
      <w:r>
        <w:fldChar w:fldCharType="begin"/>
      </w:r>
      <w:r>
        <w:instrText xml:space="preserve"> HYPERLINK \l "_Toc466015317" </w:instrText>
      </w:r>
      <w:r>
        <w:fldChar w:fldCharType="separate"/>
      </w:r>
      <w:r>
        <w:rPr>
          <w:rStyle w:val="23"/>
          <w:rFonts w:hint="eastAsia"/>
          <w:sz w:val="21"/>
          <w:szCs w:val="21"/>
        </w:rPr>
        <w:t>第七部分</w:t>
      </w:r>
      <w:r>
        <w:rPr>
          <w:rStyle w:val="23"/>
          <w:rFonts w:hint="eastAsia" w:ascii="宋体" w:hAnsi="宋体"/>
          <w:sz w:val="21"/>
          <w:szCs w:val="21"/>
        </w:rPr>
        <w:t xml:space="preserve"> 电子</w:t>
      </w:r>
      <w:bookmarkStart w:id="17" w:name="_Hlt127373101"/>
      <w:r>
        <w:rPr>
          <w:rStyle w:val="23"/>
          <w:rFonts w:hint="eastAsia" w:ascii="宋体" w:hAnsi="宋体"/>
          <w:sz w:val="21"/>
          <w:szCs w:val="21"/>
        </w:rPr>
        <w:t>投</w:t>
      </w:r>
      <w:bookmarkEnd w:id="17"/>
      <w:bookmarkStart w:id="18" w:name="_Hlt127372954"/>
      <w:bookmarkStart w:id="19" w:name="_Hlt127372849"/>
      <w:r>
        <w:rPr>
          <w:rStyle w:val="23"/>
          <w:rFonts w:hint="eastAsia" w:ascii="宋体" w:hAnsi="宋体"/>
          <w:sz w:val="21"/>
          <w:szCs w:val="21"/>
        </w:rPr>
        <w:t>标</w:t>
      </w:r>
      <w:bookmarkEnd w:id="18"/>
      <w:bookmarkEnd w:id="19"/>
      <w:r>
        <w:rPr>
          <w:rStyle w:val="23"/>
          <w:rFonts w:hint="eastAsia" w:ascii="宋体" w:hAnsi="宋体"/>
          <w:sz w:val="21"/>
          <w:szCs w:val="21"/>
        </w:rPr>
        <w:t>文件格式</w:t>
      </w:r>
      <w:r>
        <w:rPr>
          <w:sz w:val="21"/>
          <w:szCs w:val="21"/>
        </w:rPr>
        <w:tab/>
      </w:r>
      <w:r>
        <w:rPr>
          <w:sz w:val="21"/>
          <w:szCs w:val="21"/>
        </w:rPr>
        <w:fldChar w:fldCharType="begin"/>
      </w:r>
      <w:r>
        <w:rPr>
          <w:sz w:val="21"/>
          <w:szCs w:val="21"/>
        </w:rPr>
        <w:instrText xml:space="preserve"> PAGEREF _Toc466015317 \h </w:instrText>
      </w:r>
      <w:r>
        <w:rPr>
          <w:sz w:val="21"/>
          <w:szCs w:val="21"/>
        </w:rPr>
        <w:fldChar w:fldCharType="separate"/>
      </w:r>
      <w:r>
        <w:rPr>
          <w:sz w:val="21"/>
          <w:szCs w:val="21"/>
        </w:rPr>
        <w:t>58</w:t>
      </w:r>
      <w:r>
        <w:rPr>
          <w:sz w:val="21"/>
          <w:szCs w:val="21"/>
        </w:rPr>
        <w:fldChar w:fldCharType="end"/>
      </w:r>
      <w:r>
        <w:rPr>
          <w:sz w:val="21"/>
          <w:szCs w:val="21"/>
        </w:rPr>
        <w:fldChar w:fldCharType="end"/>
      </w:r>
    </w:p>
    <w:p>
      <w:pPr>
        <w:snapToGrid w:val="0"/>
        <w:spacing w:line="400" w:lineRule="exact"/>
        <w:jc w:val="both"/>
        <w:rPr>
          <w:rFonts w:ascii="宋体" w:hAnsi="宋体" w:cs="微软雅黑"/>
          <w:sz w:val="21"/>
          <w:szCs w:val="21"/>
        </w:rPr>
      </w:pPr>
      <w:r>
        <w:rPr>
          <w:rFonts w:hint="eastAsia" w:ascii="宋体" w:hAnsi="宋体" w:cs="微软雅黑"/>
          <w:sz w:val="21"/>
          <w:szCs w:val="21"/>
        </w:rPr>
        <w:fldChar w:fldCharType="end"/>
      </w:r>
    </w:p>
    <w:p>
      <w:pPr>
        <w:snapToGrid w:val="0"/>
        <w:spacing w:line="400" w:lineRule="exact"/>
        <w:jc w:val="both"/>
        <w:rPr>
          <w:rFonts w:ascii="宋体" w:hAnsi="宋体" w:cs="微软雅黑"/>
          <w:sz w:val="21"/>
          <w:szCs w:val="21"/>
        </w:rPr>
        <w:sectPr>
          <w:headerReference r:id="rId8" w:type="first"/>
          <w:headerReference r:id="rId7" w:type="default"/>
          <w:footerReference r:id="rId9" w:type="default"/>
          <w:footerReference r:id="rId10" w:type="even"/>
          <w:pgSz w:w="11907" w:h="16840"/>
          <w:pgMar w:top="1701" w:right="1588" w:bottom="1701" w:left="1588" w:header="851" w:footer="851" w:gutter="0"/>
          <w:pgNumType w:start="1"/>
          <w:cols w:space="720" w:num="1"/>
          <w:titlePg/>
          <w:docGrid w:type="lines" w:linePitch="312" w:charSpace="0"/>
        </w:sectPr>
      </w:pPr>
      <w:r>
        <w:rPr>
          <w:rFonts w:hint="eastAsia" w:ascii="宋体" w:hAnsi="宋体" w:cs="微软雅黑"/>
          <w:sz w:val="21"/>
          <w:szCs w:val="21"/>
        </w:rPr>
        <w:t xml:space="preserve">     </w:t>
      </w:r>
    </w:p>
    <w:p>
      <w:pPr>
        <w:snapToGrid w:val="0"/>
        <w:spacing w:line="240" w:lineRule="auto"/>
        <w:ind w:firstLine="420" w:firstLineChars="200"/>
        <w:jc w:val="both"/>
        <w:rPr>
          <w:rFonts w:ascii="宋体" w:hAnsi="宋体"/>
          <w:sz w:val="21"/>
          <w:szCs w:val="21"/>
        </w:rPr>
      </w:pPr>
      <w:r>
        <w:rPr>
          <w:rFonts w:hint="eastAsia" w:ascii="宋体" w:hAnsi="宋体"/>
          <w:sz w:val="21"/>
          <w:szCs w:val="21"/>
        </w:rPr>
        <w:t xml:space="preserve"> </w:t>
      </w:r>
    </w:p>
    <w:p>
      <w:pPr>
        <w:pStyle w:val="29"/>
        <w:snapToGrid w:val="0"/>
        <w:spacing w:before="0" w:after="0"/>
        <w:rPr>
          <w:rFonts w:ascii="宋体" w:hAnsi="宋体"/>
        </w:rPr>
      </w:pPr>
      <w:r>
        <w:rPr>
          <w:rFonts w:ascii="宋体" w:hAnsi="宋体"/>
        </w:rPr>
        <w:t xml:space="preserve"> </w:t>
      </w:r>
      <w:r>
        <w:rPr>
          <w:rFonts w:hint="eastAsia" w:ascii="宋体" w:hAnsi="宋体"/>
        </w:rPr>
        <w:t xml:space="preserve">  </w:t>
      </w:r>
      <w:bookmarkStart w:id="20" w:name="_Toc466015310"/>
      <w:bookmarkStart w:id="21" w:name="_Toc27650"/>
      <w:bookmarkStart w:id="22" w:name="_Toc186274096"/>
      <w:r>
        <w:rPr>
          <w:rFonts w:hint="eastAsia" w:ascii="宋体" w:hAnsi="宋体"/>
        </w:rPr>
        <w:t>投标邀请</w:t>
      </w:r>
      <w:bookmarkEnd w:id="20"/>
      <w:bookmarkEnd w:id="21"/>
      <w:bookmarkEnd w:id="22"/>
    </w:p>
    <w:p>
      <w:pPr>
        <w:pStyle w:val="29"/>
        <w:numPr>
          <w:ilvl w:val="0"/>
          <w:numId w:val="0"/>
        </w:numPr>
        <w:snapToGrid w:val="0"/>
        <w:spacing w:before="0" w:after="0"/>
        <w:jc w:val="left"/>
        <w:rPr>
          <w:rFonts w:ascii="宋体" w:hAnsi="宋体"/>
          <w:sz w:val="21"/>
          <w:szCs w:val="21"/>
        </w:rPr>
      </w:pPr>
    </w:p>
    <w:p>
      <w:pPr>
        <w:snapToGrid w:val="0"/>
        <w:spacing w:line="400" w:lineRule="exact"/>
        <w:ind w:firstLine="420" w:firstLineChars="200"/>
        <w:rPr>
          <w:rFonts w:ascii="宋体" w:hAnsi="宋体" w:cs="微软雅黑"/>
          <w:sz w:val="21"/>
          <w:szCs w:val="21"/>
        </w:rPr>
      </w:pPr>
      <w:r>
        <w:rPr>
          <w:rFonts w:hint="eastAsia" w:ascii="宋体" w:hAnsi="宋体" w:cs="微软雅黑"/>
          <w:sz w:val="21"/>
          <w:szCs w:val="21"/>
        </w:rPr>
        <w:t>北京市政府采购中心(以下简称采购中心)受北京市广播电视监测中心（北京市广播电视安全播出调度中心）的委托，对本项目进行国内公开招标。现邀请符合本招标文件规定条件的合格投标人前来投标。</w:t>
      </w:r>
    </w:p>
    <w:p>
      <w:pPr>
        <w:numPr>
          <w:ilvl w:val="0"/>
          <w:numId w:val="3"/>
        </w:numPr>
        <w:snapToGrid w:val="0"/>
        <w:spacing w:line="400" w:lineRule="exact"/>
        <w:rPr>
          <w:rFonts w:ascii="宋体" w:hAnsi="宋体" w:cs="微软雅黑"/>
          <w:sz w:val="21"/>
          <w:szCs w:val="21"/>
        </w:rPr>
      </w:pPr>
      <w:bookmarkStart w:id="23" w:name="_Toc184013601"/>
      <w:bookmarkStart w:id="24" w:name="_Toc186274097"/>
      <w:bookmarkStart w:id="25" w:name="_Toc184023100"/>
      <w:bookmarkStart w:id="26" w:name="_Toc180051008"/>
      <w:bookmarkStart w:id="27" w:name="_Toc174185144"/>
      <w:bookmarkStart w:id="28" w:name="_Toc184023106"/>
      <w:bookmarkStart w:id="29" w:name="_Toc180051014"/>
      <w:bookmarkStart w:id="30" w:name="_Toc186274103"/>
      <w:bookmarkStart w:id="31" w:name="_Toc174185151"/>
      <w:bookmarkStart w:id="32" w:name="_Toc184013607"/>
      <w:r>
        <w:rPr>
          <w:rFonts w:hint="eastAsia" w:ascii="宋体" w:hAnsi="宋体" w:cs="微软雅黑"/>
          <w:sz w:val="21"/>
          <w:szCs w:val="21"/>
        </w:rPr>
        <w:t>项目基本信息</w:t>
      </w:r>
    </w:p>
    <w:tbl>
      <w:tblPr>
        <w:tblStyle w:val="1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411"/>
        <w:gridCol w:w="482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insoku w:val="0"/>
              <w:overflowPunct w:val="0"/>
              <w:autoSpaceDE w:val="0"/>
              <w:autoSpaceDN w:val="0"/>
              <w:snapToGrid w:val="0"/>
              <w:spacing w:line="320" w:lineRule="exact"/>
              <w:jc w:val="center"/>
              <w:textAlignment w:val="auto"/>
              <w:rPr>
                <w:rFonts w:ascii="宋体" w:hAnsi="宋体" w:cs="微软雅黑"/>
                <w:b/>
                <w:bCs/>
                <w:sz w:val="21"/>
                <w:szCs w:val="21"/>
              </w:rPr>
            </w:pPr>
            <w:r>
              <w:rPr>
                <w:rFonts w:hint="eastAsia" w:ascii="宋体" w:hAnsi="宋体" w:cs="微软雅黑"/>
                <w:b/>
                <w:bCs/>
                <w:sz w:val="21"/>
                <w:szCs w:val="21"/>
              </w:rPr>
              <w:t>序号</w:t>
            </w:r>
          </w:p>
        </w:tc>
        <w:tc>
          <w:tcPr>
            <w:tcW w:w="2411" w:type="dxa"/>
            <w:vAlign w:val="center"/>
          </w:tcPr>
          <w:p>
            <w:pPr>
              <w:kinsoku w:val="0"/>
              <w:overflowPunct w:val="0"/>
              <w:autoSpaceDE w:val="0"/>
              <w:autoSpaceDN w:val="0"/>
              <w:snapToGrid w:val="0"/>
              <w:spacing w:line="320" w:lineRule="exact"/>
              <w:jc w:val="center"/>
              <w:textAlignment w:val="auto"/>
              <w:rPr>
                <w:rFonts w:ascii="宋体" w:hAnsi="宋体" w:cs="微软雅黑"/>
                <w:b/>
                <w:bCs/>
                <w:sz w:val="21"/>
                <w:szCs w:val="21"/>
              </w:rPr>
            </w:pPr>
            <w:r>
              <w:rPr>
                <w:rFonts w:hint="eastAsia" w:ascii="宋体" w:hAnsi="宋体" w:cs="微软雅黑"/>
                <w:b/>
                <w:bCs/>
                <w:sz w:val="21"/>
                <w:szCs w:val="21"/>
              </w:rPr>
              <w:t>项  目</w:t>
            </w:r>
          </w:p>
        </w:tc>
        <w:tc>
          <w:tcPr>
            <w:tcW w:w="4820" w:type="dxa"/>
            <w:vAlign w:val="center"/>
          </w:tcPr>
          <w:p>
            <w:pPr>
              <w:pStyle w:val="12"/>
              <w:kinsoku w:val="0"/>
              <w:overflowPunct w:val="0"/>
              <w:autoSpaceDE w:val="0"/>
              <w:autoSpaceDN w:val="0"/>
              <w:adjustRightInd w:val="0"/>
              <w:snapToGrid w:val="0"/>
              <w:spacing w:line="320" w:lineRule="exact"/>
              <w:jc w:val="center"/>
              <w:rPr>
                <w:rFonts w:hAnsi="宋体" w:cs="微软雅黑"/>
                <w:b/>
                <w:bCs/>
              </w:rPr>
            </w:pPr>
            <w:r>
              <w:rPr>
                <w:rFonts w:hint="eastAsia" w:hAnsi="宋体" w:cs="微软雅黑"/>
                <w:b/>
                <w:bCs/>
              </w:rPr>
              <w:t>内  容</w:t>
            </w:r>
          </w:p>
        </w:tc>
        <w:tc>
          <w:tcPr>
            <w:tcW w:w="1382"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r>
              <w:rPr>
                <w:rFonts w:hint="eastAsia" w:hAnsi="宋体" w:cs="微软雅黑"/>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4"/>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pStyle w:val="2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sz w:val="21"/>
                <w:szCs w:val="21"/>
              </w:rPr>
            </w:pPr>
            <w:r>
              <w:rPr>
                <w:rFonts w:hint="eastAsia" w:ascii="宋体" w:hAnsi="宋体" w:eastAsia="宋体" w:cs="微软雅黑"/>
                <w:b w:val="0"/>
                <w:sz w:val="21"/>
                <w:szCs w:val="21"/>
              </w:rPr>
              <w:t>采购编号</w:t>
            </w:r>
          </w:p>
        </w:tc>
        <w:tc>
          <w:tcPr>
            <w:tcW w:w="4820" w:type="dxa"/>
            <w:vAlign w:val="center"/>
          </w:tcPr>
          <w:p>
            <w:pPr>
              <w:kinsoku w:val="0"/>
              <w:overflowPunct w:val="0"/>
              <w:autoSpaceDE w:val="0"/>
              <w:autoSpaceDN w:val="0"/>
              <w:snapToGrid w:val="0"/>
              <w:spacing w:line="320" w:lineRule="exact"/>
              <w:rPr>
                <w:rFonts w:ascii="宋体" w:hAnsi="宋体" w:cs="微软雅黑"/>
                <w:b/>
                <w:sz w:val="21"/>
                <w:szCs w:val="21"/>
              </w:rPr>
            </w:pPr>
            <w:r>
              <w:rPr>
                <w:rFonts w:hint="eastAsia" w:ascii="宋体" w:hAnsi="宋体" w:cs="微软雅黑"/>
                <w:sz w:val="21"/>
                <w:szCs w:val="21"/>
              </w:rPr>
              <w:t>BGPC-</w:t>
            </w:r>
            <w:r>
              <w:rPr>
                <w:rFonts w:hint="eastAsia" w:ascii="宋体" w:hAnsi="宋体" w:cs="宋体"/>
                <w:bCs/>
                <w:sz w:val="21"/>
                <w:szCs w:val="21"/>
              </w:rPr>
              <w:t>G</w:t>
            </w:r>
            <w:r>
              <w:rPr>
                <w:rFonts w:ascii="宋体" w:hAnsi="宋体" w:cs="宋体"/>
                <w:bCs/>
                <w:sz w:val="21"/>
                <w:szCs w:val="21"/>
              </w:rPr>
              <w:t>230</w:t>
            </w:r>
            <w:r>
              <w:rPr>
                <w:rFonts w:hint="eastAsia" w:ascii="宋体" w:hAnsi="宋体" w:cs="宋体"/>
                <w:bCs/>
                <w:sz w:val="21"/>
                <w:szCs w:val="21"/>
              </w:rPr>
              <w:t>66</w:t>
            </w:r>
          </w:p>
        </w:tc>
        <w:tc>
          <w:tcPr>
            <w:tcW w:w="1382"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4"/>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pStyle w:val="2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sz w:val="21"/>
                <w:szCs w:val="21"/>
              </w:rPr>
            </w:pPr>
            <w:r>
              <w:rPr>
                <w:rFonts w:hint="eastAsia" w:ascii="宋体" w:hAnsi="宋体" w:eastAsia="宋体" w:cs="微软雅黑"/>
                <w:b w:val="0"/>
                <w:sz w:val="21"/>
                <w:szCs w:val="21"/>
              </w:rPr>
              <w:t>项目名称</w:t>
            </w:r>
          </w:p>
        </w:tc>
        <w:tc>
          <w:tcPr>
            <w:tcW w:w="4820" w:type="dxa"/>
            <w:vAlign w:val="center"/>
          </w:tcPr>
          <w:p>
            <w:pPr>
              <w:pStyle w:val="2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sz w:val="21"/>
                <w:szCs w:val="21"/>
              </w:rPr>
            </w:pPr>
            <w:r>
              <w:rPr>
                <w:rFonts w:hint="eastAsia" w:ascii="宋体" w:hAnsi="宋体" w:eastAsia="宋体" w:cs="微软雅黑"/>
                <w:b w:val="0"/>
                <w:sz w:val="21"/>
                <w:szCs w:val="21"/>
              </w:rPr>
              <w:t>监测调度网络和政务云租用</w:t>
            </w:r>
          </w:p>
        </w:tc>
        <w:tc>
          <w:tcPr>
            <w:tcW w:w="1382"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4"/>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pStyle w:val="2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sz w:val="21"/>
                <w:szCs w:val="21"/>
              </w:rPr>
            </w:pPr>
            <w:r>
              <w:rPr>
                <w:rFonts w:hint="eastAsia" w:ascii="宋体" w:hAnsi="宋体" w:eastAsia="宋体" w:cs="微软雅黑"/>
                <w:b w:val="0"/>
                <w:sz w:val="21"/>
                <w:szCs w:val="21"/>
              </w:rPr>
              <w:t>项目属性</w:t>
            </w:r>
          </w:p>
        </w:tc>
        <w:tc>
          <w:tcPr>
            <w:tcW w:w="4820" w:type="dxa"/>
            <w:vAlign w:val="center"/>
          </w:tcPr>
          <w:p>
            <w:pPr>
              <w:pStyle w:val="2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sz w:val="21"/>
                <w:szCs w:val="21"/>
              </w:rPr>
            </w:pPr>
            <w:r>
              <w:rPr>
                <w:rFonts w:hint="eastAsia" w:ascii="宋体" w:hAnsi="宋体" w:eastAsia="宋体" w:cs="微软雅黑"/>
                <w:b w:val="0"/>
                <w:sz w:val="21"/>
                <w:szCs w:val="21"/>
              </w:rPr>
              <w:t>服务</w:t>
            </w:r>
          </w:p>
        </w:tc>
        <w:tc>
          <w:tcPr>
            <w:tcW w:w="1382"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4"/>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pStyle w:val="2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sz w:val="21"/>
                <w:szCs w:val="21"/>
              </w:rPr>
            </w:pPr>
            <w:r>
              <w:rPr>
                <w:rFonts w:hint="eastAsia" w:ascii="宋体" w:hAnsi="宋体" w:eastAsia="宋体" w:cs="微软雅黑"/>
                <w:b w:val="0"/>
                <w:sz w:val="21"/>
                <w:szCs w:val="21"/>
              </w:rPr>
              <w:t>采购人名称</w:t>
            </w:r>
          </w:p>
        </w:tc>
        <w:tc>
          <w:tcPr>
            <w:tcW w:w="4820" w:type="dxa"/>
            <w:vAlign w:val="center"/>
          </w:tcPr>
          <w:p>
            <w:pPr>
              <w:pStyle w:val="2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sz w:val="21"/>
                <w:szCs w:val="21"/>
              </w:rPr>
            </w:pPr>
            <w:r>
              <w:rPr>
                <w:rFonts w:hint="eastAsia" w:ascii="宋体" w:hAnsi="宋体" w:eastAsia="宋体" w:cs="微软雅黑"/>
                <w:b w:val="0"/>
                <w:sz w:val="21"/>
                <w:szCs w:val="21"/>
              </w:rPr>
              <w:t>北京市广播电视监测中心（北京市广播电视安全播出调度中心）</w:t>
            </w:r>
          </w:p>
        </w:tc>
        <w:tc>
          <w:tcPr>
            <w:tcW w:w="1382"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4"/>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pStyle w:val="2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sz w:val="21"/>
                <w:szCs w:val="21"/>
              </w:rPr>
            </w:pPr>
            <w:r>
              <w:rPr>
                <w:rFonts w:hint="eastAsia" w:ascii="宋体" w:hAnsi="宋体" w:eastAsia="宋体" w:cs="微软雅黑"/>
                <w:b w:val="0"/>
                <w:sz w:val="21"/>
                <w:szCs w:val="21"/>
              </w:rPr>
              <w:t>采购方式</w:t>
            </w:r>
          </w:p>
        </w:tc>
        <w:tc>
          <w:tcPr>
            <w:tcW w:w="4820" w:type="dxa"/>
            <w:vAlign w:val="center"/>
          </w:tcPr>
          <w:p>
            <w:pPr>
              <w:pStyle w:val="2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sz w:val="21"/>
                <w:szCs w:val="21"/>
              </w:rPr>
            </w:pPr>
            <w:r>
              <w:rPr>
                <w:rFonts w:hint="eastAsia" w:ascii="宋体" w:hAnsi="宋体" w:eastAsia="宋体" w:cs="微软雅黑"/>
                <w:b w:val="0"/>
                <w:sz w:val="21"/>
                <w:szCs w:val="21"/>
              </w:rPr>
              <w:t>公开招标</w:t>
            </w:r>
          </w:p>
        </w:tc>
        <w:tc>
          <w:tcPr>
            <w:tcW w:w="1382"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4"/>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pStyle w:val="2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sz w:val="21"/>
                <w:szCs w:val="21"/>
              </w:rPr>
            </w:pPr>
            <w:r>
              <w:rPr>
                <w:rFonts w:hint="eastAsia" w:ascii="宋体" w:hAnsi="宋体" w:eastAsia="宋体" w:cs="微软雅黑"/>
                <w:b w:val="0"/>
                <w:sz w:val="21"/>
                <w:szCs w:val="21"/>
              </w:rPr>
              <w:t>预算金额</w:t>
            </w:r>
          </w:p>
        </w:tc>
        <w:tc>
          <w:tcPr>
            <w:tcW w:w="4820" w:type="dxa"/>
            <w:vAlign w:val="center"/>
          </w:tcPr>
          <w:p>
            <w:pPr>
              <w:pStyle w:val="2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FF0000"/>
                <w:sz w:val="21"/>
                <w:szCs w:val="21"/>
              </w:rPr>
            </w:pPr>
            <w:r>
              <w:rPr>
                <w:rFonts w:hint="eastAsia" w:ascii="宋体" w:hAnsi="宋体" w:eastAsia="宋体" w:cs="微软雅黑"/>
                <w:b w:val="0"/>
                <w:sz w:val="21"/>
                <w:szCs w:val="21"/>
              </w:rPr>
              <w:t>人民币</w:t>
            </w:r>
            <w:r>
              <w:rPr>
                <w:rFonts w:hint="eastAsia" w:ascii="宋体" w:hAnsi="宋体" w:eastAsia="宋体" w:cs="微软雅黑"/>
                <w:b w:val="0"/>
                <w:color w:val="FF0000"/>
                <w:sz w:val="21"/>
                <w:szCs w:val="21"/>
              </w:rPr>
              <w:t>5,192,444.00</w:t>
            </w:r>
            <w:r>
              <w:rPr>
                <w:rFonts w:ascii="宋体" w:hAnsi="宋体" w:eastAsia="宋体" w:cs="微软雅黑"/>
                <w:b w:val="0"/>
                <w:color w:val="FF0000"/>
                <w:sz w:val="21"/>
                <w:szCs w:val="21"/>
              </w:rPr>
              <w:t>元</w:t>
            </w:r>
            <w:r>
              <w:rPr>
                <w:rFonts w:hint="eastAsia" w:ascii="宋体" w:hAnsi="宋体" w:eastAsia="宋体" w:cs="微软雅黑"/>
                <w:b w:val="0"/>
                <w:color w:val="FF0000"/>
                <w:sz w:val="21"/>
                <w:szCs w:val="21"/>
              </w:rPr>
              <w:t>；</w:t>
            </w:r>
          </w:p>
          <w:p>
            <w:pPr>
              <w:pStyle w:val="2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FF0000"/>
                <w:sz w:val="21"/>
                <w:szCs w:val="21"/>
              </w:rPr>
            </w:pPr>
            <w:r>
              <w:rPr>
                <w:rFonts w:hint="eastAsia" w:ascii="宋体" w:hAnsi="宋体" w:eastAsia="宋体" w:cs="微软雅黑"/>
                <w:b w:val="0"/>
                <w:color w:val="FF0000"/>
                <w:sz w:val="21"/>
                <w:szCs w:val="21"/>
              </w:rPr>
              <w:t>其中第1包：3,015,600.00元；</w:t>
            </w:r>
          </w:p>
          <w:p>
            <w:pPr>
              <w:pStyle w:val="28"/>
              <w:keepNext w:val="0"/>
              <w:keepLines w:val="0"/>
              <w:numPr>
                <w:ilvl w:val="0"/>
                <w:numId w:val="0"/>
              </w:numPr>
              <w:kinsoku w:val="0"/>
              <w:overflowPunct w:val="0"/>
              <w:autoSpaceDE w:val="0"/>
              <w:autoSpaceDN w:val="0"/>
              <w:snapToGrid w:val="0"/>
              <w:spacing w:before="0" w:after="0" w:line="320" w:lineRule="exact"/>
              <w:ind w:firstLine="420" w:firstLineChars="200"/>
              <w:rPr>
                <w:rFonts w:ascii="宋体" w:hAnsi="宋体" w:eastAsia="宋体" w:cs="微软雅黑"/>
                <w:b w:val="0"/>
                <w:color w:val="FF0000"/>
                <w:sz w:val="21"/>
                <w:szCs w:val="21"/>
              </w:rPr>
            </w:pPr>
            <w:r>
              <w:rPr>
                <w:rFonts w:hint="eastAsia" w:ascii="宋体" w:hAnsi="宋体" w:eastAsia="宋体" w:cs="微软雅黑"/>
                <w:b w:val="0"/>
                <w:color w:val="FF0000"/>
                <w:sz w:val="21"/>
                <w:szCs w:val="21"/>
              </w:rPr>
              <w:t xml:space="preserve">第2包：2,176,844.00元。     </w:t>
            </w:r>
          </w:p>
        </w:tc>
        <w:tc>
          <w:tcPr>
            <w:tcW w:w="1382"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vAlign w:val="center"/>
          </w:tcPr>
          <w:p>
            <w:pPr>
              <w:numPr>
                <w:ilvl w:val="0"/>
                <w:numId w:val="4"/>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restart"/>
            <w:vAlign w:val="center"/>
          </w:tcPr>
          <w:p>
            <w:pPr>
              <w:pStyle w:val="2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sz w:val="21"/>
                <w:szCs w:val="21"/>
              </w:rPr>
            </w:pPr>
            <w:r>
              <w:rPr>
                <w:rFonts w:hint="eastAsia" w:ascii="宋体" w:hAnsi="宋体" w:eastAsia="宋体" w:cs="微软雅黑"/>
                <w:b w:val="0"/>
                <w:sz w:val="21"/>
                <w:szCs w:val="21"/>
              </w:rPr>
              <w:t>招标内容</w:t>
            </w:r>
          </w:p>
        </w:tc>
        <w:tc>
          <w:tcPr>
            <w:tcW w:w="4820" w:type="dxa"/>
            <w:vAlign w:val="center"/>
          </w:tcPr>
          <w:p>
            <w:pPr>
              <w:pStyle w:val="2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sz w:val="21"/>
                <w:szCs w:val="21"/>
              </w:rPr>
            </w:pPr>
            <w:r>
              <w:rPr>
                <w:rFonts w:hint="eastAsia" w:ascii="宋体" w:hAnsi="宋体" w:eastAsia="宋体" w:cs="微软雅黑"/>
                <w:b w:val="0"/>
                <w:sz w:val="21"/>
                <w:szCs w:val="21"/>
              </w:rPr>
              <w:t>包数：2</w:t>
            </w:r>
          </w:p>
        </w:tc>
        <w:tc>
          <w:tcPr>
            <w:tcW w:w="1382"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kinsoku w:val="0"/>
              <w:overflowPunct w:val="0"/>
              <w:autoSpaceDE w:val="0"/>
              <w:autoSpaceDN w:val="0"/>
              <w:snapToGrid w:val="0"/>
              <w:spacing w:line="320" w:lineRule="exact"/>
              <w:ind w:left="420"/>
              <w:textAlignment w:val="auto"/>
              <w:rPr>
                <w:rFonts w:ascii="宋体" w:hAnsi="宋体" w:cs="微软雅黑"/>
                <w:bCs/>
                <w:sz w:val="21"/>
                <w:szCs w:val="21"/>
              </w:rPr>
            </w:pPr>
          </w:p>
        </w:tc>
        <w:tc>
          <w:tcPr>
            <w:tcW w:w="2411" w:type="dxa"/>
            <w:vMerge w:val="continue"/>
            <w:vAlign w:val="center"/>
          </w:tcPr>
          <w:p>
            <w:pPr>
              <w:pStyle w:val="2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sz w:val="21"/>
                <w:szCs w:val="21"/>
              </w:rPr>
            </w:pPr>
          </w:p>
        </w:tc>
        <w:tc>
          <w:tcPr>
            <w:tcW w:w="4820" w:type="dxa"/>
            <w:vAlign w:val="center"/>
          </w:tcPr>
          <w:p>
            <w:pPr>
              <w:pStyle w:val="2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sz w:val="21"/>
                <w:szCs w:val="21"/>
              </w:rPr>
            </w:pPr>
            <w:r>
              <w:rPr>
                <w:rFonts w:hint="eastAsia" w:ascii="宋体" w:hAnsi="宋体" w:eastAsia="宋体" w:cs="微软雅黑"/>
                <w:b w:val="0"/>
                <w:sz w:val="21"/>
                <w:szCs w:val="21"/>
              </w:rPr>
              <w:t>具体采购需求：详见招标文件第四部分</w:t>
            </w:r>
          </w:p>
        </w:tc>
        <w:tc>
          <w:tcPr>
            <w:tcW w:w="1382"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p>
        </w:tc>
      </w:tr>
    </w:tbl>
    <w:p>
      <w:pPr>
        <w:numPr>
          <w:ilvl w:val="0"/>
          <w:numId w:val="3"/>
        </w:numPr>
        <w:snapToGrid w:val="0"/>
        <w:spacing w:line="400" w:lineRule="exact"/>
        <w:rPr>
          <w:rFonts w:ascii="宋体" w:hAnsi="宋体" w:cs="微软雅黑"/>
          <w:sz w:val="21"/>
          <w:szCs w:val="21"/>
        </w:rPr>
      </w:pPr>
      <w:r>
        <w:rPr>
          <w:rFonts w:hint="eastAsia" w:ascii="宋体" w:hAnsi="宋体" w:cs="微软雅黑"/>
          <w:sz w:val="21"/>
          <w:szCs w:val="21"/>
        </w:rPr>
        <w:t>合格投标人的条件：详见招标文件第三部分</w:t>
      </w:r>
      <w:bookmarkEnd w:id="23"/>
      <w:bookmarkEnd w:id="24"/>
      <w:bookmarkEnd w:id="25"/>
      <w:bookmarkEnd w:id="26"/>
      <w:bookmarkEnd w:id="27"/>
    </w:p>
    <w:p>
      <w:pPr>
        <w:numPr>
          <w:ilvl w:val="0"/>
          <w:numId w:val="3"/>
        </w:numPr>
        <w:snapToGrid w:val="0"/>
        <w:spacing w:line="400" w:lineRule="exact"/>
        <w:rPr>
          <w:rFonts w:ascii="宋体" w:hAnsi="宋体" w:cs="微软雅黑"/>
          <w:sz w:val="21"/>
          <w:szCs w:val="21"/>
        </w:rPr>
      </w:pPr>
      <w:bookmarkStart w:id="33" w:name="_Toc174185147"/>
      <w:bookmarkStart w:id="34" w:name="_Toc184023103"/>
      <w:bookmarkStart w:id="35" w:name="_Toc186274100"/>
      <w:bookmarkStart w:id="36" w:name="_Toc184013604"/>
      <w:bookmarkStart w:id="37" w:name="_Toc180051011"/>
      <w:r>
        <w:rPr>
          <w:rFonts w:hint="eastAsia" w:ascii="宋体" w:hAnsi="宋体" w:cs="微软雅黑"/>
          <w:sz w:val="21"/>
          <w:szCs w:val="21"/>
        </w:rPr>
        <w:t>招标文件</w:t>
      </w:r>
      <w:bookmarkEnd w:id="33"/>
      <w:r>
        <w:rPr>
          <w:rFonts w:hint="eastAsia" w:ascii="宋体" w:hAnsi="宋体" w:cs="微软雅黑"/>
          <w:sz w:val="21"/>
          <w:szCs w:val="21"/>
        </w:rPr>
        <w:t>获取方式和下载期限</w:t>
      </w:r>
      <w:bookmarkEnd w:id="34"/>
      <w:bookmarkEnd w:id="35"/>
      <w:bookmarkEnd w:id="36"/>
      <w:bookmarkEnd w:id="37"/>
    </w:p>
    <w:p>
      <w:pPr>
        <w:numPr>
          <w:ilvl w:val="0"/>
          <w:numId w:val="5"/>
        </w:numPr>
        <w:tabs>
          <w:tab w:val="left" w:pos="856"/>
        </w:tabs>
        <w:snapToGrid w:val="0"/>
        <w:spacing w:line="400" w:lineRule="exact"/>
        <w:rPr>
          <w:rFonts w:ascii="宋体" w:hAnsi="宋体" w:cs="微软雅黑"/>
          <w:sz w:val="21"/>
          <w:szCs w:val="21"/>
        </w:rPr>
      </w:pPr>
      <w:r>
        <w:rPr>
          <w:rFonts w:hint="eastAsia" w:ascii="宋体" w:hAnsi="宋体" w:cs="微软雅黑"/>
          <w:sz w:val="21"/>
          <w:szCs w:val="21"/>
        </w:rPr>
        <w:t>获取方式：</w:t>
      </w:r>
    </w:p>
    <w:p>
      <w:pPr>
        <w:tabs>
          <w:tab w:val="left" w:pos="856"/>
        </w:tabs>
        <w:snapToGrid w:val="0"/>
        <w:spacing w:line="400" w:lineRule="exact"/>
        <w:ind w:left="497" w:leftChars="207" w:firstLine="420" w:firstLineChars="200"/>
        <w:rPr>
          <w:rFonts w:ascii="宋体" w:hAnsi="宋体" w:cs="微软雅黑"/>
          <w:sz w:val="21"/>
          <w:szCs w:val="21"/>
        </w:rPr>
      </w:pPr>
      <w:r>
        <w:rPr>
          <w:rFonts w:hint="eastAsia" w:ascii="宋体" w:hAnsi="宋体" w:cs="微软雅黑"/>
          <w:sz w:val="21"/>
          <w:szCs w:val="21"/>
        </w:rPr>
        <w:t>供应商按照规定办理CA数字认证证书（北京一证通数字证书）后，自招标公告发布之日起，在规定的下载时间内持自身数字证书登录北京市政府采购电子交易平台（http://zbcg-bjzc.zhongcy.com/bjczj-portal-site/index.html#/home）免费获取本项目电子版招标文件。</w:t>
      </w:r>
    </w:p>
    <w:p>
      <w:pPr>
        <w:numPr>
          <w:ilvl w:val="0"/>
          <w:numId w:val="5"/>
        </w:numPr>
        <w:tabs>
          <w:tab w:val="left" w:pos="856"/>
        </w:tabs>
        <w:snapToGrid w:val="0"/>
        <w:spacing w:line="400" w:lineRule="exact"/>
        <w:rPr>
          <w:rFonts w:ascii="宋体" w:hAnsi="宋体" w:cs="微软雅黑"/>
          <w:sz w:val="21"/>
          <w:szCs w:val="21"/>
        </w:rPr>
      </w:pPr>
      <w:r>
        <w:rPr>
          <w:rFonts w:hint="eastAsia" w:ascii="宋体" w:hAnsi="宋体" w:cs="微软雅黑"/>
          <w:sz w:val="21"/>
          <w:szCs w:val="21"/>
        </w:rPr>
        <w:t>下载期限：</w:t>
      </w:r>
    </w:p>
    <w:p>
      <w:pPr>
        <w:tabs>
          <w:tab w:val="left" w:pos="856"/>
        </w:tabs>
        <w:snapToGrid w:val="0"/>
        <w:spacing w:line="400" w:lineRule="exact"/>
        <w:ind w:left="497" w:leftChars="207" w:firstLine="420" w:firstLineChars="200"/>
        <w:rPr>
          <w:rFonts w:ascii="宋体" w:hAnsi="宋体" w:cs="微软雅黑"/>
          <w:sz w:val="21"/>
          <w:szCs w:val="21"/>
        </w:rPr>
      </w:pPr>
      <w:r>
        <w:rPr>
          <w:rFonts w:hint="eastAsia" w:ascii="宋体" w:hAnsi="宋体" w:cs="微软雅黑"/>
          <w:sz w:val="21"/>
          <w:szCs w:val="21"/>
        </w:rPr>
        <w:t>202</w:t>
      </w:r>
      <w:r>
        <w:rPr>
          <w:rFonts w:ascii="宋体" w:hAnsi="宋体" w:cs="微软雅黑"/>
          <w:sz w:val="21"/>
          <w:szCs w:val="21"/>
        </w:rPr>
        <w:t>3</w:t>
      </w:r>
      <w:r>
        <w:rPr>
          <w:rFonts w:hint="eastAsia" w:ascii="宋体" w:hAnsi="宋体" w:cs="微软雅黑"/>
          <w:sz w:val="21"/>
          <w:szCs w:val="21"/>
        </w:rPr>
        <w:t>年4月3日-202</w:t>
      </w:r>
      <w:r>
        <w:rPr>
          <w:rFonts w:ascii="宋体" w:hAnsi="宋体" w:cs="微软雅黑"/>
          <w:sz w:val="21"/>
          <w:szCs w:val="21"/>
        </w:rPr>
        <w:t>3</w:t>
      </w:r>
      <w:r>
        <w:rPr>
          <w:rFonts w:hint="eastAsia" w:ascii="宋体" w:hAnsi="宋体" w:cs="微软雅黑"/>
          <w:sz w:val="21"/>
          <w:szCs w:val="21"/>
        </w:rPr>
        <w:t>年4月11日。</w:t>
      </w:r>
    </w:p>
    <w:p>
      <w:pPr>
        <w:numPr>
          <w:ilvl w:val="0"/>
          <w:numId w:val="5"/>
        </w:numPr>
        <w:tabs>
          <w:tab w:val="left" w:pos="856"/>
        </w:tabs>
        <w:snapToGrid w:val="0"/>
        <w:spacing w:line="400" w:lineRule="exact"/>
        <w:rPr>
          <w:rFonts w:ascii="宋体" w:hAnsi="宋体" w:cs="微软雅黑"/>
          <w:sz w:val="21"/>
          <w:szCs w:val="21"/>
        </w:rPr>
      </w:pPr>
      <w:r>
        <w:rPr>
          <w:rFonts w:hint="eastAsia" w:ascii="宋体" w:hAnsi="宋体" w:cs="微软雅黑"/>
          <w:sz w:val="21"/>
          <w:szCs w:val="21"/>
        </w:rPr>
        <w:t>CA数字认证证书办理：</w:t>
      </w:r>
    </w:p>
    <w:p>
      <w:pPr>
        <w:tabs>
          <w:tab w:val="left" w:pos="856"/>
        </w:tabs>
        <w:snapToGrid w:val="0"/>
        <w:spacing w:line="400" w:lineRule="exact"/>
        <w:ind w:left="497" w:leftChars="207" w:firstLine="420" w:firstLineChars="200"/>
        <w:rPr>
          <w:rFonts w:ascii="宋体" w:hAnsi="宋体" w:cs="微软雅黑"/>
          <w:sz w:val="21"/>
          <w:szCs w:val="21"/>
        </w:rPr>
      </w:pPr>
      <w:r>
        <w:rPr>
          <w:rFonts w:hint="eastAsia" w:ascii="宋体" w:hAnsi="宋体" w:cs="微软雅黑"/>
          <w:sz w:val="21"/>
          <w:szCs w:val="21"/>
        </w:rPr>
        <w:t>（1）办理CA认证证书（北京一证通数字证书），详见北京市政府采购电子交易平台（http://zbcg-bjzc.zhongcy.com/bjczj-portal-site/index.html#/home）查阅 “用户指南”—“操作指南”—“市场主体CA办理操作流程指引”，按照程序要求办理。</w:t>
      </w:r>
    </w:p>
    <w:p>
      <w:pPr>
        <w:tabs>
          <w:tab w:val="left" w:pos="856"/>
        </w:tabs>
        <w:snapToGrid w:val="0"/>
        <w:spacing w:line="400" w:lineRule="exact"/>
        <w:ind w:left="497" w:leftChars="207" w:firstLine="420" w:firstLineChars="200"/>
        <w:rPr>
          <w:rFonts w:ascii="宋体" w:hAnsi="宋体" w:cs="微软雅黑"/>
          <w:sz w:val="21"/>
          <w:szCs w:val="21"/>
        </w:rPr>
      </w:pPr>
      <w:r>
        <w:rPr>
          <w:rFonts w:hint="eastAsia" w:ascii="宋体" w:hAnsi="宋体" w:cs="微软雅黑"/>
          <w:sz w:val="21"/>
          <w:szCs w:val="21"/>
        </w:rPr>
        <w:t>（2）按照北京市政府采购电子交易平台“用户指南”—“操作指南”—“市场主体注册入库操作流程指引”进行自助注册绑定。</w:t>
      </w:r>
    </w:p>
    <w:p>
      <w:pPr>
        <w:tabs>
          <w:tab w:val="left" w:pos="856"/>
        </w:tabs>
        <w:snapToGrid w:val="0"/>
        <w:spacing w:line="400" w:lineRule="exact"/>
        <w:ind w:left="497" w:leftChars="207" w:firstLine="420" w:firstLineChars="200"/>
        <w:rPr>
          <w:rFonts w:ascii="宋体" w:hAnsi="宋体" w:cs="微软雅黑"/>
          <w:sz w:val="21"/>
          <w:szCs w:val="21"/>
        </w:rPr>
      </w:pPr>
      <w:r>
        <w:rPr>
          <w:rFonts w:hint="eastAsia" w:ascii="宋体" w:hAnsi="宋体" w:cs="微软雅黑"/>
          <w:sz w:val="21"/>
          <w:szCs w:val="21"/>
        </w:rPr>
        <w:t>（3）证书驱动下载：于北京市政府采购电子交易平台“用户指南”-“工具下载”-“招标采购系统文件驱动安装包”下载相关驱动。</w:t>
      </w:r>
    </w:p>
    <w:p>
      <w:pPr>
        <w:numPr>
          <w:ilvl w:val="0"/>
          <w:numId w:val="5"/>
        </w:numPr>
        <w:tabs>
          <w:tab w:val="left" w:pos="856"/>
        </w:tabs>
        <w:snapToGrid w:val="0"/>
        <w:spacing w:line="400" w:lineRule="exact"/>
        <w:rPr>
          <w:rFonts w:ascii="宋体" w:hAnsi="宋体" w:cs="微软雅黑"/>
          <w:sz w:val="21"/>
          <w:szCs w:val="21"/>
        </w:rPr>
      </w:pPr>
      <w:r>
        <w:rPr>
          <w:rFonts w:hint="eastAsia" w:ascii="宋体" w:hAnsi="宋体" w:cs="微软雅黑"/>
          <w:sz w:val="21"/>
          <w:szCs w:val="21"/>
        </w:rPr>
        <w:t>技术服务电话</w:t>
      </w:r>
    </w:p>
    <w:p>
      <w:pPr>
        <w:tabs>
          <w:tab w:val="left" w:pos="856"/>
        </w:tabs>
        <w:snapToGrid w:val="0"/>
        <w:spacing w:line="400" w:lineRule="exact"/>
        <w:ind w:left="497" w:leftChars="207" w:firstLine="420" w:firstLineChars="200"/>
        <w:rPr>
          <w:rFonts w:ascii="宋体" w:hAnsi="宋体" w:cs="微软雅黑"/>
          <w:sz w:val="21"/>
          <w:szCs w:val="21"/>
        </w:rPr>
      </w:pPr>
      <w:r>
        <w:rPr>
          <w:rFonts w:hint="eastAsia" w:ascii="宋体" w:hAnsi="宋体" w:cs="微软雅黑"/>
          <w:sz w:val="21"/>
          <w:szCs w:val="21"/>
        </w:rPr>
        <w:t>CA认证证书服务热线010-58515511</w:t>
      </w:r>
    </w:p>
    <w:p>
      <w:pPr>
        <w:tabs>
          <w:tab w:val="left" w:pos="856"/>
        </w:tabs>
        <w:snapToGrid w:val="0"/>
        <w:spacing w:line="400" w:lineRule="exact"/>
        <w:ind w:left="497" w:leftChars="207" w:firstLine="420" w:firstLineChars="200"/>
        <w:rPr>
          <w:rFonts w:ascii="宋体" w:hAnsi="宋体" w:cs="微软雅黑"/>
          <w:sz w:val="21"/>
          <w:szCs w:val="21"/>
        </w:rPr>
      </w:pPr>
      <w:r>
        <w:rPr>
          <w:rFonts w:hint="eastAsia" w:ascii="宋体" w:hAnsi="宋体" w:cs="微软雅黑"/>
          <w:sz w:val="21"/>
          <w:szCs w:val="21"/>
        </w:rPr>
        <w:t>技术支持服务热线010-86483801</w:t>
      </w:r>
    </w:p>
    <w:p>
      <w:pPr>
        <w:tabs>
          <w:tab w:val="left" w:pos="856"/>
        </w:tabs>
        <w:snapToGrid w:val="0"/>
        <w:spacing w:line="400" w:lineRule="exact"/>
        <w:ind w:left="497" w:leftChars="207" w:firstLine="420" w:firstLineChars="200"/>
        <w:rPr>
          <w:rFonts w:ascii="宋体" w:hAnsi="宋体" w:cs="微软雅黑"/>
          <w:sz w:val="21"/>
          <w:szCs w:val="21"/>
        </w:rPr>
      </w:pPr>
      <w:r>
        <w:rPr>
          <w:rFonts w:hint="eastAsia" w:ascii="宋体" w:hAnsi="宋体" w:cs="微软雅黑"/>
          <w:sz w:val="21"/>
          <w:szCs w:val="21"/>
        </w:rPr>
        <w:t>注意：本项目采用政府采购全流程电子化线上方式招标，请供应商认真学习北京市政府采购电子交易平台发布的相关操作手册及视频，认真核实数字认证证书情况确认是否符合本项目电子化采购要求，如有问题，请及时联系CA认证证书及技术支持服务热线。</w:t>
      </w:r>
    </w:p>
    <w:p>
      <w:pPr>
        <w:numPr>
          <w:ilvl w:val="0"/>
          <w:numId w:val="3"/>
        </w:numPr>
        <w:snapToGrid w:val="0"/>
        <w:spacing w:line="400" w:lineRule="exact"/>
        <w:rPr>
          <w:rFonts w:ascii="宋体" w:hAnsi="宋体" w:cs="微软雅黑"/>
          <w:sz w:val="21"/>
          <w:szCs w:val="21"/>
        </w:rPr>
      </w:pPr>
      <w:r>
        <w:rPr>
          <w:rFonts w:hint="eastAsia" w:ascii="宋体" w:hAnsi="宋体" w:cs="微软雅黑"/>
          <w:sz w:val="21"/>
          <w:szCs w:val="21"/>
        </w:rPr>
        <w:t>电子投标、开标、解密时间及地点</w:t>
      </w:r>
    </w:p>
    <w:p>
      <w:pPr>
        <w:numPr>
          <w:ilvl w:val="0"/>
          <w:numId w:val="6"/>
        </w:numPr>
        <w:tabs>
          <w:tab w:val="left" w:pos="856"/>
        </w:tabs>
        <w:snapToGrid w:val="0"/>
        <w:spacing w:line="400" w:lineRule="exact"/>
        <w:rPr>
          <w:rFonts w:ascii="宋体" w:hAnsi="宋体" w:cs="微软雅黑"/>
          <w:sz w:val="21"/>
          <w:szCs w:val="21"/>
        </w:rPr>
      </w:pPr>
      <w:r>
        <w:rPr>
          <w:rFonts w:hint="eastAsia" w:ascii="宋体" w:hAnsi="宋体" w:cs="微软雅黑"/>
          <w:sz w:val="21"/>
          <w:szCs w:val="21"/>
        </w:rPr>
        <w:t>电子投标截止时间：2023年4月24日  上午9:30（北京时间）。</w:t>
      </w:r>
    </w:p>
    <w:p>
      <w:pPr>
        <w:numPr>
          <w:ilvl w:val="0"/>
          <w:numId w:val="6"/>
        </w:numPr>
        <w:tabs>
          <w:tab w:val="left" w:pos="856"/>
        </w:tabs>
        <w:snapToGrid w:val="0"/>
        <w:spacing w:line="400" w:lineRule="exact"/>
        <w:rPr>
          <w:rFonts w:ascii="宋体" w:hAnsi="宋体" w:cs="微软雅黑"/>
          <w:sz w:val="21"/>
          <w:szCs w:val="21"/>
        </w:rPr>
      </w:pPr>
      <w:r>
        <w:rPr>
          <w:rFonts w:hint="eastAsia" w:ascii="宋体" w:hAnsi="宋体" w:cs="微软雅黑"/>
          <w:sz w:val="21"/>
          <w:szCs w:val="21"/>
        </w:rPr>
        <w:t>开标时间：2023年4月24日  上午9:30（北京时间）。</w:t>
      </w:r>
    </w:p>
    <w:p>
      <w:pPr>
        <w:numPr>
          <w:ilvl w:val="0"/>
          <w:numId w:val="6"/>
        </w:numPr>
        <w:tabs>
          <w:tab w:val="left" w:pos="856"/>
        </w:tabs>
        <w:snapToGrid w:val="0"/>
        <w:spacing w:line="400" w:lineRule="exact"/>
        <w:rPr>
          <w:rFonts w:ascii="宋体" w:hAnsi="宋体" w:cs="微软雅黑"/>
          <w:sz w:val="21"/>
          <w:szCs w:val="21"/>
        </w:rPr>
      </w:pPr>
      <w:r>
        <w:rPr>
          <w:rFonts w:hint="eastAsia" w:ascii="宋体" w:hAnsi="宋体" w:cs="微软雅黑"/>
          <w:sz w:val="21"/>
          <w:szCs w:val="21"/>
        </w:rPr>
        <w:t>解密时限：解密时限为北京市政府采购电子交易平台开启投标人自行解密功能后</w:t>
      </w:r>
      <w:r>
        <w:rPr>
          <w:rFonts w:hint="eastAsia" w:ascii="宋体" w:hAnsi="宋体" w:cs="微软雅黑"/>
          <w:b/>
          <w:sz w:val="21"/>
          <w:szCs w:val="21"/>
          <w:u w:val="single"/>
        </w:rPr>
        <w:t>120分钟</w:t>
      </w:r>
      <w:r>
        <w:rPr>
          <w:rFonts w:hint="eastAsia" w:ascii="宋体" w:hAnsi="宋体" w:cs="微软雅黑"/>
          <w:sz w:val="21"/>
          <w:szCs w:val="21"/>
        </w:rPr>
        <w:t>。</w:t>
      </w:r>
    </w:p>
    <w:p>
      <w:pPr>
        <w:numPr>
          <w:ilvl w:val="0"/>
          <w:numId w:val="6"/>
        </w:numPr>
        <w:tabs>
          <w:tab w:val="left" w:pos="856"/>
        </w:tabs>
        <w:snapToGrid w:val="0"/>
        <w:spacing w:line="400" w:lineRule="exact"/>
        <w:rPr>
          <w:rFonts w:ascii="宋体" w:hAnsi="宋体" w:cs="微软雅黑"/>
          <w:b/>
          <w:sz w:val="21"/>
          <w:szCs w:val="21"/>
        </w:rPr>
      </w:pPr>
      <w:r>
        <w:rPr>
          <w:rFonts w:hint="eastAsia" w:ascii="宋体" w:hAnsi="宋体" w:cs="微软雅黑"/>
          <w:b/>
          <w:sz w:val="21"/>
          <w:szCs w:val="21"/>
        </w:rPr>
        <w:t>开标、解密地点及方式：本项目采用远程电子开标方式，由投标人自行对电子投标文件进行解密，不接受纸质文件，无须投标人到达现场。</w:t>
      </w:r>
    </w:p>
    <w:p>
      <w:pPr>
        <w:snapToGrid w:val="0"/>
        <w:spacing w:line="400" w:lineRule="exact"/>
        <w:ind w:left="840"/>
        <w:rPr>
          <w:rFonts w:ascii="宋体" w:hAnsi="宋体" w:cs="微软雅黑"/>
          <w:sz w:val="21"/>
          <w:szCs w:val="21"/>
        </w:rPr>
      </w:pPr>
      <w:r>
        <w:rPr>
          <w:rFonts w:hint="eastAsia" w:ascii="宋体" w:hAnsi="宋体" w:cs="微软雅黑"/>
          <w:sz w:val="21"/>
          <w:szCs w:val="21"/>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pPr>
        <w:snapToGrid w:val="0"/>
        <w:spacing w:line="400" w:lineRule="exact"/>
        <w:ind w:left="840"/>
        <w:rPr>
          <w:rFonts w:ascii="宋体" w:hAnsi="宋体" w:cs="微软雅黑"/>
          <w:sz w:val="21"/>
          <w:szCs w:val="21"/>
        </w:rPr>
      </w:pPr>
      <w:r>
        <w:rPr>
          <w:rFonts w:hint="eastAsia" w:ascii="宋体" w:hAnsi="宋体" w:cs="微软雅黑"/>
          <w:sz w:val="21"/>
          <w:szCs w:val="21"/>
        </w:rPr>
        <w:t>解密阶段技术电话：010-86483801</w:t>
      </w:r>
    </w:p>
    <w:p>
      <w:pPr>
        <w:numPr>
          <w:ilvl w:val="0"/>
          <w:numId w:val="7"/>
        </w:numPr>
        <w:tabs>
          <w:tab w:val="clear" w:pos="1200"/>
        </w:tabs>
        <w:adjustRightInd/>
        <w:spacing w:line="400" w:lineRule="exact"/>
        <w:ind w:left="420" w:firstLine="289"/>
        <w:jc w:val="both"/>
        <w:textAlignment w:val="auto"/>
        <w:rPr>
          <w:rFonts w:ascii="宋体" w:hAnsi="宋体"/>
          <w:kern w:val="2"/>
          <w:sz w:val="21"/>
          <w:szCs w:val="21"/>
        </w:rPr>
      </w:pPr>
      <w:r>
        <w:rPr>
          <w:rFonts w:hint="eastAsia" w:ascii="宋体" w:hAnsi="宋体"/>
          <w:kern w:val="2"/>
          <w:sz w:val="21"/>
          <w:szCs w:val="21"/>
        </w:rPr>
        <w:t>未在电子投标截止时间前按程序上传电子投标文件的投标无效。</w:t>
      </w:r>
    </w:p>
    <w:p>
      <w:pPr>
        <w:numPr>
          <w:ilvl w:val="0"/>
          <w:numId w:val="7"/>
        </w:numPr>
        <w:tabs>
          <w:tab w:val="clear" w:pos="1200"/>
        </w:tabs>
        <w:adjustRightInd/>
        <w:spacing w:line="400" w:lineRule="exact"/>
        <w:ind w:left="420" w:firstLine="289"/>
        <w:jc w:val="both"/>
        <w:textAlignment w:val="auto"/>
        <w:rPr>
          <w:rFonts w:ascii="宋体" w:hAnsi="宋体"/>
          <w:kern w:val="2"/>
          <w:sz w:val="21"/>
          <w:szCs w:val="21"/>
        </w:rPr>
      </w:pPr>
      <w:r>
        <w:rPr>
          <w:rFonts w:hint="eastAsia" w:ascii="宋体" w:hAnsi="宋体"/>
          <w:kern w:val="2"/>
          <w:sz w:val="21"/>
          <w:szCs w:val="21"/>
        </w:rPr>
        <w:t>电子投标文件制作、上传等注意事项详见招标文件第一部分说明。</w:t>
      </w:r>
    </w:p>
    <w:p>
      <w:pPr>
        <w:numPr>
          <w:ilvl w:val="0"/>
          <w:numId w:val="7"/>
        </w:numPr>
        <w:tabs>
          <w:tab w:val="clear" w:pos="1200"/>
        </w:tabs>
        <w:adjustRightInd/>
        <w:spacing w:line="400" w:lineRule="exact"/>
        <w:ind w:left="420" w:firstLine="289"/>
        <w:jc w:val="both"/>
        <w:textAlignment w:val="auto"/>
        <w:rPr>
          <w:rFonts w:ascii="宋体" w:hAnsi="宋体"/>
          <w:kern w:val="2"/>
          <w:sz w:val="21"/>
          <w:szCs w:val="21"/>
        </w:rPr>
      </w:pPr>
      <w:r>
        <w:rPr>
          <w:rFonts w:hint="eastAsia" w:ascii="宋体" w:hAnsi="宋体"/>
          <w:kern w:val="2"/>
          <w:sz w:val="21"/>
          <w:szCs w:val="21"/>
        </w:rPr>
        <w:t>开标时具体操作流程及注意事项详见招标文件第三部分“14.</w:t>
      </w:r>
      <w:r>
        <w:rPr>
          <w:rFonts w:hint="eastAsia" w:ascii="宋体" w:hAnsi="宋体"/>
          <w:kern w:val="2"/>
          <w:sz w:val="21"/>
          <w:szCs w:val="21"/>
        </w:rPr>
        <w:tab/>
      </w:r>
      <w:r>
        <w:rPr>
          <w:rFonts w:hint="eastAsia" w:ascii="宋体" w:hAnsi="宋体"/>
          <w:kern w:val="2"/>
          <w:sz w:val="21"/>
          <w:szCs w:val="21"/>
        </w:rPr>
        <w:t>开标、解密及唱标”。</w:t>
      </w:r>
    </w:p>
    <w:p>
      <w:pPr>
        <w:numPr>
          <w:ilvl w:val="0"/>
          <w:numId w:val="7"/>
        </w:numPr>
        <w:tabs>
          <w:tab w:val="clear" w:pos="1200"/>
        </w:tabs>
        <w:adjustRightInd/>
        <w:spacing w:line="400" w:lineRule="exact"/>
        <w:ind w:left="420" w:firstLine="289"/>
        <w:jc w:val="both"/>
        <w:textAlignment w:val="auto"/>
        <w:rPr>
          <w:rFonts w:ascii="宋体" w:hAnsi="宋体"/>
          <w:kern w:val="2"/>
          <w:sz w:val="21"/>
          <w:szCs w:val="21"/>
        </w:rPr>
      </w:pPr>
      <w:r>
        <w:rPr>
          <w:rFonts w:hint="eastAsia" w:ascii="宋体" w:hAnsi="宋体"/>
          <w:kern w:val="2"/>
          <w:sz w:val="21"/>
          <w:szCs w:val="21"/>
        </w:rPr>
        <w:t>为保证开标解密环节联系方式畅通，</w:t>
      </w:r>
      <w:r>
        <w:fldChar w:fldCharType="begin"/>
      </w:r>
      <w:r>
        <w:instrText xml:space="preserve"> HYPERLINK "mailto:请投标人将项目联系人姓名和联系方式发送至指定邮箱31351936@qq.com" </w:instrText>
      </w:r>
      <w:r>
        <w:fldChar w:fldCharType="separate"/>
      </w:r>
      <w:r>
        <w:rPr>
          <w:rStyle w:val="23"/>
          <w:rFonts w:hint="eastAsia" w:ascii="宋体" w:hAnsi="宋体"/>
          <w:kern w:val="2"/>
          <w:sz w:val="21"/>
          <w:szCs w:val="21"/>
        </w:rPr>
        <w:t>请投标人将项目联系人姓名和联系方式发送至指定邮箱</w:t>
      </w:r>
      <w:r>
        <w:rPr>
          <w:rStyle w:val="23"/>
          <w:rFonts w:ascii="宋体" w:hAnsi="宋体"/>
          <w:kern w:val="2"/>
          <w:sz w:val="21"/>
          <w:szCs w:val="21"/>
        </w:rPr>
        <w:t>31351936</w:t>
      </w:r>
      <w:r>
        <w:rPr>
          <w:rStyle w:val="23"/>
          <w:rFonts w:hint="eastAsia" w:ascii="宋体" w:hAnsi="宋体"/>
          <w:kern w:val="2"/>
          <w:sz w:val="21"/>
          <w:szCs w:val="21"/>
        </w:rPr>
        <w:t>@</w:t>
      </w:r>
      <w:r>
        <w:rPr>
          <w:rStyle w:val="23"/>
          <w:rFonts w:ascii="宋体" w:hAnsi="宋体"/>
          <w:kern w:val="2"/>
          <w:sz w:val="21"/>
          <w:szCs w:val="21"/>
        </w:rPr>
        <w:t>qq</w:t>
      </w:r>
      <w:r>
        <w:rPr>
          <w:rStyle w:val="23"/>
          <w:rFonts w:hint="eastAsia" w:ascii="宋体" w:hAnsi="宋体"/>
          <w:kern w:val="2"/>
          <w:sz w:val="21"/>
          <w:szCs w:val="21"/>
        </w:rPr>
        <w:t>.</w:t>
      </w:r>
      <w:r>
        <w:rPr>
          <w:rStyle w:val="23"/>
          <w:rFonts w:ascii="宋体" w:hAnsi="宋体"/>
          <w:kern w:val="2"/>
          <w:sz w:val="21"/>
          <w:szCs w:val="21"/>
        </w:rPr>
        <w:t>com</w:t>
      </w:r>
      <w:r>
        <w:rPr>
          <w:rStyle w:val="23"/>
          <w:rFonts w:ascii="宋体" w:hAnsi="宋体"/>
          <w:kern w:val="2"/>
          <w:sz w:val="21"/>
          <w:szCs w:val="21"/>
        </w:rPr>
        <w:fldChar w:fldCharType="end"/>
      </w:r>
      <w:r>
        <w:rPr>
          <w:rFonts w:hint="eastAsia" w:ascii="宋体" w:hAnsi="宋体"/>
          <w:kern w:val="2"/>
          <w:sz w:val="21"/>
          <w:szCs w:val="21"/>
        </w:rPr>
        <w:t xml:space="preserve"> 。</w:t>
      </w:r>
    </w:p>
    <w:p>
      <w:pPr>
        <w:tabs>
          <w:tab w:val="left" w:pos="856"/>
        </w:tabs>
        <w:snapToGrid w:val="0"/>
        <w:spacing w:line="400" w:lineRule="exact"/>
        <w:ind w:left="1200"/>
        <w:rPr>
          <w:rFonts w:ascii="宋体" w:hAnsi="宋体" w:cs="微软雅黑"/>
          <w:sz w:val="21"/>
          <w:szCs w:val="21"/>
        </w:rPr>
      </w:pPr>
      <w:r>
        <w:rPr>
          <w:rFonts w:hint="eastAsia" w:ascii="宋体" w:hAnsi="宋体" w:cs="微软雅黑"/>
          <w:sz w:val="21"/>
          <w:szCs w:val="21"/>
        </w:rPr>
        <w:t xml:space="preserve">邮件题目为：采购编号+开标解密联系人 </w:t>
      </w:r>
    </w:p>
    <w:p>
      <w:pPr>
        <w:tabs>
          <w:tab w:val="left" w:pos="856"/>
        </w:tabs>
        <w:snapToGrid w:val="0"/>
        <w:spacing w:line="400" w:lineRule="exact"/>
        <w:ind w:left="1200"/>
        <w:rPr>
          <w:rFonts w:ascii="宋体" w:hAnsi="宋体" w:cs="微软雅黑"/>
          <w:sz w:val="21"/>
          <w:szCs w:val="21"/>
        </w:rPr>
      </w:pPr>
      <w:r>
        <w:rPr>
          <w:rFonts w:hint="eastAsia" w:ascii="宋体" w:hAnsi="宋体" w:cs="微软雅黑"/>
          <w:sz w:val="21"/>
          <w:szCs w:val="21"/>
        </w:rPr>
        <w:t>邮件内容为：采购编号+项目名称+公司名称+联系人姓名+手机号码</w:t>
      </w:r>
    </w:p>
    <w:p>
      <w:pPr>
        <w:numPr>
          <w:ilvl w:val="0"/>
          <w:numId w:val="3"/>
        </w:numPr>
        <w:snapToGrid w:val="0"/>
        <w:spacing w:line="400" w:lineRule="exact"/>
        <w:rPr>
          <w:rFonts w:ascii="宋体" w:hAnsi="宋体" w:cs="微软雅黑"/>
          <w:sz w:val="21"/>
          <w:szCs w:val="21"/>
        </w:rPr>
      </w:pPr>
      <w:r>
        <w:rPr>
          <w:rFonts w:hint="eastAsia" w:ascii="宋体" w:hAnsi="宋体" w:cs="微软雅黑"/>
          <w:sz w:val="21"/>
          <w:szCs w:val="21"/>
        </w:rPr>
        <w:t>联系信息</w:t>
      </w:r>
    </w:p>
    <w:p>
      <w:pPr>
        <w:snapToGrid w:val="0"/>
        <w:spacing w:line="400" w:lineRule="exact"/>
        <w:ind w:left="840"/>
        <w:rPr>
          <w:rFonts w:ascii="宋体" w:hAnsi="宋体" w:cs="微软雅黑"/>
          <w:sz w:val="21"/>
          <w:szCs w:val="21"/>
        </w:rPr>
      </w:pPr>
      <w:r>
        <w:rPr>
          <w:rFonts w:hint="eastAsia" w:ascii="宋体" w:hAnsi="宋体" w:cs="微软雅黑"/>
          <w:sz w:val="21"/>
          <w:szCs w:val="21"/>
        </w:rPr>
        <w:t>集中采购机构联系信息</w:t>
      </w:r>
    </w:p>
    <w:bookmarkEnd w:id="28"/>
    <w:bookmarkEnd w:id="29"/>
    <w:bookmarkEnd w:id="30"/>
    <w:bookmarkEnd w:id="31"/>
    <w:bookmarkEnd w:id="32"/>
    <w:p>
      <w:pPr>
        <w:snapToGrid w:val="0"/>
        <w:spacing w:line="400" w:lineRule="exact"/>
        <w:ind w:left="840"/>
        <w:rPr>
          <w:rFonts w:ascii="宋体" w:hAnsi="宋体" w:cs="微软雅黑"/>
          <w:sz w:val="21"/>
          <w:szCs w:val="21"/>
        </w:rPr>
      </w:pPr>
      <w:r>
        <w:rPr>
          <w:rFonts w:hint="eastAsia" w:ascii="宋体" w:hAnsi="宋体" w:cs="微软雅黑"/>
          <w:sz w:val="21"/>
          <w:szCs w:val="21"/>
        </w:rPr>
        <w:t>集中采购机构名称：北京市政府采购中心</w:t>
      </w:r>
    </w:p>
    <w:p>
      <w:pPr>
        <w:snapToGrid w:val="0"/>
        <w:spacing w:line="400" w:lineRule="exact"/>
        <w:ind w:left="840"/>
        <w:rPr>
          <w:rFonts w:ascii="宋体" w:hAnsi="宋体" w:cs="微软雅黑"/>
          <w:sz w:val="21"/>
          <w:szCs w:val="21"/>
        </w:rPr>
      </w:pPr>
      <w:r>
        <w:rPr>
          <w:rFonts w:hint="eastAsia" w:ascii="宋体" w:hAnsi="宋体" w:cs="微软雅黑"/>
          <w:sz w:val="21"/>
          <w:szCs w:val="21"/>
        </w:rPr>
        <w:t>地址：北京市丰台区玉林里45号腾飞大厦</w:t>
      </w:r>
    </w:p>
    <w:p>
      <w:pPr>
        <w:snapToGrid w:val="0"/>
        <w:spacing w:line="400" w:lineRule="exact"/>
        <w:ind w:left="840"/>
        <w:rPr>
          <w:rFonts w:ascii="宋体" w:hAnsi="宋体" w:cs="微软雅黑"/>
          <w:sz w:val="21"/>
          <w:szCs w:val="21"/>
        </w:rPr>
      </w:pPr>
      <w:r>
        <w:rPr>
          <w:rFonts w:hint="eastAsia" w:ascii="宋体" w:hAnsi="宋体" w:cs="微软雅黑"/>
          <w:sz w:val="21"/>
          <w:szCs w:val="21"/>
        </w:rPr>
        <w:t>邮政编码：100069</w:t>
      </w:r>
    </w:p>
    <w:p>
      <w:pPr>
        <w:snapToGrid w:val="0"/>
        <w:spacing w:line="400" w:lineRule="exact"/>
        <w:ind w:left="840"/>
        <w:rPr>
          <w:rFonts w:ascii="宋体" w:hAnsi="宋体" w:cs="微软雅黑"/>
          <w:sz w:val="21"/>
          <w:szCs w:val="21"/>
        </w:rPr>
      </w:pPr>
      <w:r>
        <w:rPr>
          <w:rFonts w:hint="eastAsia" w:ascii="宋体" w:hAnsi="宋体" w:cs="微软雅黑"/>
          <w:sz w:val="21"/>
          <w:szCs w:val="21"/>
        </w:rPr>
        <w:t xml:space="preserve">联系人：高静丽   </w:t>
      </w:r>
    </w:p>
    <w:p>
      <w:pPr>
        <w:snapToGrid w:val="0"/>
        <w:spacing w:line="400" w:lineRule="exact"/>
        <w:ind w:left="840"/>
        <w:rPr>
          <w:rFonts w:ascii="宋体" w:hAnsi="宋体" w:cs="微软雅黑"/>
          <w:sz w:val="21"/>
          <w:szCs w:val="21"/>
        </w:rPr>
      </w:pPr>
      <w:r>
        <w:rPr>
          <w:rFonts w:hint="eastAsia" w:ascii="宋体" w:hAnsi="宋体" w:cs="微软雅黑"/>
          <w:sz w:val="21"/>
          <w:szCs w:val="21"/>
        </w:rPr>
        <w:t>电话</w:t>
      </w:r>
      <w:r>
        <w:rPr>
          <w:rFonts w:ascii="宋体" w:hAnsi="宋体" w:cs="微软雅黑"/>
          <w:sz w:val="21"/>
          <w:szCs w:val="21"/>
        </w:rPr>
        <w:t>：</w:t>
      </w:r>
      <w:r>
        <w:rPr>
          <w:rFonts w:hint="eastAsia" w:ascii="宋体" w:hAnsi="宋体" w:cs="微软雅黑"/>
          <w:sz w:val="21"/>
          <w:szCs w:val="21"/>
        </w:rPr>
        <w:t>010-83916773</w:t>
      </w:r>
    </w:p>
    <w:p>
      <w:pPr>
        <w:snapToGrid w:val="0"/>
        <w:spacing w:line="400" w:lineRule="exact"/>
        <w:ind w:left="840"/>
        <w:rPr>
          <w:rFonts w:ascii="宋体" w:hAnsi="宋体" w:cs="微软雅黑"/>
          <w:sz w:val="21"/>
          <w:szCs w:val="21"/>
        </w:rPr>
      </w:pPr>
      <w:r>
        <w:rPr>
          <w:rFonts w:hint="eastAsia" w:ascii="宋体" w:hAnsi="宋体" w:cs="微软雅黑"/>
          <w:sz w:val="21"/>
          <w:szCs w:val="21"/>
        </w:rPr>
        <w:t>传真：010-83916675</w:t>
      </w:r>
    </w:p>
    <w:p>
      <w:pPr>
        <w:snapToGrid w:val="0"/>
        <w:spacing w:line="400" w:lineRule="exact"/>
        <w:ind w:left="840"/>
        <w:rPr>
          <w:rFonts w:ascii="宋体" w:hAnsi="宋体" w:cs="微软雅黑"/>
          <w:sz w:val="21"/>
          <w:szCs w:val="21"/>
        </w:rPr>
      </w:pPr>
      <w:r>
        <w:rPr>
          <w:rFonts w:hint="eastAsia" w:ascii="宋体" w:hAnsi="宋体" w:cs="微软雅黑"/>
          <w:sz w:val="21"/>
          <w:szCs w:val="21"/>
        </w:rPr>
        <w:t>网址：https://bgpc.bcactc.com/zfcgzx/</w:t>
      </w:r>
    </w:p>
    <w:p>
      <w:pPr>
        <w:snapToGrid w:val="0"/>
        <w:spacing w:line="400" w:lineRule="exact"/>
        <w:ind w:left="840"/>
        <w:rPr>
          <w:rFonts w:ascii="宋体" w:hAnsi="宋体" w:cs="微软雅黑"/>
          <w:sz w:val="21"/>
          <w:szCs w:val="21"/>
        </w:rPr>
      </w:pPr>
    </w:p>
    <w:p>
      <w:pPr>
        <w:snapToGrid w:val="0"/>
        <w:spacing w:line="400" w:lineRule="exact"/>
        <w:ind w:left="840"/>
        <w:rPr>
          <w:rFonts w:ascii="宋体" w:hAnsi="宋体" w:cs="微软雅黑"/>
          <w:sz w:val="21"/>
          <w:szCs w:val="21"/>
        </w:rPr>
      </w:pPr>
      <w:r>
        <w:rPr>
          <w:rFonts w:hint="eastAsia" w:ascii="宋体" w:hAnsi="宋体" w:cs="微软雅黑"/>
          <w:sz w:val="21"/>
          <w:szCs w:val="21"/>
        </w:rPr>
        <w:t>采购人联系信息</w:t>
      </w:r>
    </w:p>
    <w:p>
      <w:pPr>
        <w:spacing w:line="400" w:lineRule="exact"/>
        <w:ind w:firstLine="840" w:firstLineChars="400"/>
        <w:rPr>
          <w:rFonts w:ascii="宋体" w:hAnsi="宋体" w:cs="微软雅黑"/>
          <w:sz w:val="21"/>
          <w:szCs w:val="21"/>
        </w:rPr>
      </w:pPr>
      <w:r>
        <w:rPr>
          <w:rFonts w:hint="eastAsia" w:ascii="宋体" w:hAnsi="宋体" w:cs="微软雅黑"/>
          <w:sz w:val="21"/>
          <w:szCs w:val="21"/>
        </w:rPr>
        <w:t>采购人名称：北京市广播电视监测中心（北京市广播电视安全播出调度中心）</w:t>
      </w:r>
    </w:p>
    <w:p>
      <w:pPr>
        <w:spacing w:line="400" w:lineRule="exact"/>
        <w:ind w:firstLine="840" w:firstLineChars="400"/>
        <w:rPr>
          <w:rFonts w:ascii="宋体" w:hAnsi="宋体" w:cs="微软雅黑"/>
          <w:sz w:val="21"/>
          <w:szCs w:val="21"/>
        </w:rPr>
      </w:pPr>
      <w:r>
        <w:rPr>
          <w:rFonts w:hint="eastAsia" w:ascii="宋体" w:hAnsi="宋体" w:cs="微软雅黑"/>
          <w:sz w:val="21"/>
          <w:szCs w:val="21"/>
        </w:rPr>
        <w:t>地址：</w:t>
      </w:r>
      <w:r>
        <w:rPr>
          <w:rFonts w:hint="eastAsia" w:ascii="宋体" w:hAnsi="宋体" w:cs="宋体"/>
          <w:bCs/>
          <w:sz w:val="21"/>
          <w:szCs w:val="21"/>
        </w:rPr>
        <w:t>北京市朝阳区建国门外大街14号</w:t>
      </w:r>
    </w:p>
    <w:p>
      <w:pPr>
        <w:spacing w:line="400" w:lineRule="exact"/>
        <w:ind w:firstLine="840" w:firstLineChars="400"/>
        <w:rPr>
          <w:rFonts w:ascii="宋体" w:hAnsi="宋体" w:cs="微软雅黑"/>
          <w:sz w:val="21"/>
          <w:szCs w:val="21"/>
        </w:rPr>
      </w:pPr>
      <w:r>
        <w:rPr>
          <w:rFonts w:hint="eastAsia" w:ascii="宋体" w:hAnsi="宋体" w:cs="微软雅黑"/>
          <w:sz w:val="21"/>
          <w:szCs w:val="21"/>
        </w:rPr>
        <w:t>联系人：殷老师</w:t>
      </w:r>
    </w:p>
    <w:p>
      <w:pPr>
        <w:spacing w:line="400" w:lineRule="exact"/>
        <w:ind w:firstLine="840" w:firstLineChars="400"/>
        <w:rPr>
          <w:rFonts w:ascii="宋体" w:hAnsi="宋体" w:cs="微软雅黑"/>
          <w:sz w:val="21"/>
          <w:szCs w:val="21"/>
        </w:rPr>
      </w:pPr>
      <w:r>
        <w:rPr>
          <w:rFonts w:hint="eastAsia" w:ascii="宋体" w:hAnsi="宋体" w:cs="微软雅黑"/>
          <w:sz w:val="21"/>
          <w:szCs w:val="21"/>
        </w:rPr>
        <w:t>电话：010-</w:t>
      </w:r>
      <w:r>
        <w:rPr>
          <w:rFonts w:ascii="宋体" w:hAnsi="宋体" w:cs="微软雅黑"/>
          <w:sz w:val="21"/>
          <w:szCs w:val="21"/>
        </w:rPr>
        <w:t>6</w:t>
      </w:r>
      <w:r>
        <w:rPr>
          <w:rFonts w:hint="eastAsia" w:ascii="宋体" w:hAnsi="宋体" w:cs="微软雅黑"/>
          <w:sz w:val="21"/>
          <w:szCs w:val="21"/>
        </w:rPr>
        <w:t>5155241</w:t>
      </w:r>
    </w:p>
    <w:p>
      <w:pPr>
        <w:spacing w:line="400" w:lineRule="exact"/>
        <w:jc w:val="center"/>
        <w:rPr>
          <w:rFonts w:ascii="宋体" w:hAnsi="宋体" w:cs="微软雅黑"/>
          <w:b/>
          <w:sz w:val="28"/>
          <w:szCs w:val="28"/>
        </w:rPr>
      </w:pPr>
      <w:r>
        <w:rPr>
          <w:rFonts w:ascii="宋体" w:hAnsi="宋体" w:cs="微软雅黑"/>
          <w:sz w:val="21"/>
          <w:szCs w:val="21"/>
        </w:rPr>
        <w:br w:type="page"/>
      </w:r>
      <w:bookmarkStart w:id="38" w:name="_Toc174185149"/>
      <w:bookmarkStart w:id="39" w:name="_Toc180051012"/>
      <w:bookmarkStart w:id="40" w:name="_Toc184013605"/>
      <w:bookmarkStart w:id="41" w:name="_Toc186274101"/>
      <w:bookmarkStart w:id="42" w:name="_Toc184023104"/>
      <w:r>
        <w:rPr>
          <w:rFonts w:hint="eastAsia" w:ascii="宋体" w:hAnsi="宋体" w:cs="微软雅黑"/>
          <w:b/>
          <w:sz w:val="28"/>
          <w:szCs w:val="28"/>
        </w:rPr>
        <w:t>电子投标文件制作及上传说明</w:t>
      </w:r>
      <w:bookmarkEnd w:id="38"/>
      <w:bookmarkEnd w:id="39"/>
      <w:bookmarkEnd w:id="40"/>
      <w:bookmarkEnd w:id="41"/>
      <w:bookmarkEnd w:id="42"/>
    </w:p>
    <w:p>
      <w:pPr>
        <w:snapToGrid w:val="0"/>
        <w:spacing w:line="400" w:lineRule="exact"/>
        <w:ind w:firstLine="422" w:firstLineChars="200"/>
        <w:rPr>
          <w:rFonts w:ascii="宋体" w:hAnsi="宋体" w:cs="微软雅黑"/>
          <w:b/>
          <w:color w:val="FF0000"/>
          <w:sz w:val="21"/>
          <w:szCs w:val="21"/>
        </w:rPr>
      </w:pPr>
      <w:r>
        <w:rPr>
          <w:rFonts w:hint="eastAsia" w:ascii="宋体" w:hAnsi="宋体" w:cs="微软雅黑"/>
          <w:b/>
          <w:color w:val="FF0000"/>
          <w:sz w:val="21"/>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pPr>
        <w:spacing w:line="400" w:lineRule="exact"/>
        <w:ind w:firstLine="422" w:firstLineChars="200"/>
        <w:rPr>
          <w:rFonts w:ascii="宋体" w:hAnsi="宋体" w:cs="微软雅黑"/>
          <w:b/>
          <w:color w:val="0000FF"/>
          <w:sz w:val="21"/>
          <w:szCs w:val="21"/>
        </w:rPr>
      </w:pPr>
      <w:r>
        <w:rPr>
          <w:rFonts w:hint="eastAsia" w:ascii="宋体" w:hAnsi="宋体" w:cs="微软雅黑"/>
          <w:b/>
          <w:color w:val="0000FF"/>
          <w:sz w:val="21"/>
          <w:szCs w:val="21"/>
        </w:rPr>
        <w:t>CA认证证书服务热线010-58515511</w:t>
      </w:r>
    </w:p>
    <w:p>
      <w:pPr>
        <w:spacing w:line="400" w:lineRule="exact"/>
        <w:ind w:firstLine="422" w:firstLineChars="200"/>
        <w:rPr>
          <w:rFonts w:ascii="宋体" w:hAnsi="宋体" w:cs="微软雅黑"/>
          <w:b/>
          <w:color w:val="0000FF"/>
          <w:sz w:val="21"/>
          <w:szCs w:val="21"/>
        </w:rPr>
      </w:pPr>
      <w:r>
        <w:rPr>
          <w:rFonts w:hint="eastAsia" w:ascii="宋体" w:hAnsi="宋体" w:cs="微软雅黑"/>
          <w:b/>
          <w:color w:val="0000FF"/>
          <w:sz w:val="21"/>
          <w:szCs w:val="21"/>
        </w:rPr>
        <w:t>技术支持服务热线010-86483801</w:t>
      </w:r>
    </w:p>
    <w:p>
      <w:pPr>
        <w:numPr>
          <w:ilvl w:val="0"/>
          <w:numId w:val="8"/>
        </w:numPr>
        <w:snapToGrid w:val="0"/>
        <w:spacing w:line="400" w:lineRule="exact"/>
        <w:rPr>
          <w:rFonts w:ascii="宋体" w:hAnsi="宋体" w:cs="微软雅黑"/>
          <w:sz w:val="21"/>
          <w:szCs w:val="21"/>
        </w:rPr>
      </w:pPr>
      <w:r>
        <w:rPr>
          <w:rFonts w:hint="eastAsia" w:ascii="宋体" w:hAnsi="宋体" w:cs="微软雅黑"/>
          <w:sz w:val="21"/>
          <w:szCs w:val="21"/>
        </w:rPr>
        <w:t>办理CA认证证书</w:t>
      </w:r>
    </w:p>
    <w:p>
      <w:pPr>
        <w:spacing w:line="400" w:lineRule="exact"/>
        <w:ind w:firstLine="420" w:firstLineChars="200"/>
        <w:rPr>
          <w:rFonts w:ascii="宋体" w:hAnsi="宋体" w:cs="微软雅黑"/>
          <w:sz w:val="21"/>
          <w:szCs w:val="21"/>
        </w:rPr>
      </w:pPr>
      <w:r>
        <w:rPr>
          <w:rFonts w:hint="eastAsia" w:ascii="宋体" w:hAnsi="宋体" w:cs="微软雅黑"/>
          <w:sz w:val="21"/>
          <w:szCs w:val="21"/>
        </w:rPr>
        <w:t>供应商登录北京市政府采购电子交易平台查阅 “用户指南”—“操作指南”—“市场主体CA办理操作流程指引”，按照程序要求办理。</w:t>
      </w:r>
    </w:p>
    <w:p>
      <w:pPr>
        <w:snapToGrid w:val="0"/>
        <w:spacing w:line="400" w:lineRule="exact"/>
        <w:ind w:firstLine="422" w:firstLineChars="200"/>
        <w:rPr>
          <w:rFonts w:ascii="宋体" w:hAnsi="宋体" w:cs="微软雅黑"/>
          <w:sz w:val="21"/>
          <w:szCs w:val="21"/>
        </w:rPr>
      </w:pPr>
      <w:r>
        <w:rPr>
          <w:rFonts w:hint="eastAsia" w:ascii="宋体" w:hAnsi="宋体" w:cs="微软雅黑"/>
          <w:b/>
          <w:color w:val="FF0000"/>
          <w:sz w:val="21"/>
          <w:szCs w:val="21"/>
        </w:rPr>
        <w:t>特别提示：加密上传电子投标文件后，不得续费或更新该CA数字认证证书，以免影响远程解密功能。确需续费或更新的用户，请使用续费或更新后的CA数字认证证书重新加密上传电子投标文件</w:t>
      </w:r>
      <w:r>
        <w:rPr>
          <w:rFonts w:hint="eastAsia" w:ascii="宋体" w:hAnsi="宋体" w:cs="微软雅黑"/>
          <w:color w:val="FF0000"/>
          <w:sz w:val="21"/>
          <w:szCs w:val="21"/>
        </w:rPr>
        <w:t>。</w:t>
      </w:r>
    </w:p>
    <w:p>
      <w:pPr>
        <w:numPr>
          <w:ilvl w:val="0"/>
          <w:numId w:val="8"/>
        </w:numPr>
        <w:snapToGrid w:val="0"/>
        <w:spacing w:line="400" w:lineRule="exact"/>
        <w:rPr>
          <w:rFonts w:ascii="宋体" w:hAnsi="宋体" w:cs="微软雅黑"/>
          <w:sz w:val="21"/>
          <w:szCs w:val="21"/>
        </w:rPr>
      </w:pPr>
      <w:r>
        <w:rPr>
          <w:rFonts w:hint="eastAsia" w:ascii="宋体" w:hAnsi="宋体" w:cs="微软雅黑"/>
          <w:sz w:val="21"/>
          <w:szCs w:val="21"/>
        </w:rPr>
        <w:t>注册</w:t>
      </w:r>
    </w:p>
    <w:p>
      <w:pPr>
        <w:spacing w:line="400" w:lineRule="exact"/>
        <w:ind w:firstLine="420" w:firstLineChars="200"/>
        <w:rPr>
          <w:rFonts w:ascii="宋体" w:hAnsi="宋体" w:cs="微软雅黑"/>
          <w:sz w:val="21"/>
          <w:szCs w:val="21"/>
        </w:rPr>
      </w:pPr>
      <w:r>
        <w:rPr>
          <w:rFonts w:hint="eastAsia" w:ascii="宋体" w:hAnsi="宋体" w:cs="微软雅黑"/>
          <w:sz w:val="21"/>
          <w:szCs w:val="21"/>
        </w:rPr>
        <w:t>供应商登录北京市政府采购电子交易平台“用户指南”—“操作指南”—“市场主体注册入库操作流程指引”进行自助注册绑定。</w:t>
      </w:r>
    </w:p>
    <w:p>
      <w:pPr>
        <w:numPr>
          <w:ilvl w:val="0"/>
          <w:numId w:val="8"/>
        </w:numPr>
        <w:snapToGrid w:val="0"/>
        <w:spacing w:line="400" w:lineRule="exact"/>
        <w:rPr>
          <w:rFonts w:ascii="宋体" w:hAnsi="宋体" w:cs="微软雅黑"/>
          <w:sz w:val="21"/>
          <w:szCs w:val="21"/>
        </w:rPr>
      </w:pPr>
      <w:r>
        <w:rPr>
          <w:rFonts w:hint="eastAsia" w:ascii="宋体" w:hAnsi="宋体" w:cs="微软雅黑"/>
          <w:sz w:val="21"/>
          <w:szCs w:val="21"/>
        </w:rPr>
        <w:t>驱动、客户端下载</w:t>
      </w:r>
    </w:p>
    <w:p>
      <w:pPr>
        <w:spacing w:line="400" w:lineRule="exact"/>
        <w:ind w:firstLine="420" w:firstLineChars="200"/>
        <w:rPr>
          <w:rFonts w:ascii="宋体" w:hAnsi="宋体" w:cs="微软雅黑"/>
          <w:sz w:val="21"/>
          <w:szCs w:val="21"/>
        </w:rPr>
      </w:pPr>
      <w:r>
        <w:rPr>
          <w:rFonts w:hint="eastAsia" w:ascii="宋体" w:hAnsi="宋体" w:cs="微软雅黑"/>
          <w:sz w:val="21"/>
          <w:szCs w:val="21"/>
        </w:rPr>
        <w:t>供应商登录北京市政府采购电子交易平台“用户指南”—“工具下载”—“招标采购系统文件驱动安装包”下载相关驱动。</w:t>
      </w:r>
    </w:p>
    <w:p>
      <w:pPr>
        <w:spacing w:line="400" w:lineRule="exact"/>
        <w:ind w:firstLine="420" w:firstLineChars="200"/>
        <w:rPr>
          <w:rFonts w:ascii="宋体" w:hAnsi="宋体" w:cs="微软雅黑"/>
          <w:sz w:val="21"/>
          <w:szCs w:val="21"/>
        </w:rPr>
      </w:pPr>
      <w:r>
        <w:rPr>
          <w:rFonts w:hint="eastAsia" w:ascii="宋体" w:hAnsi="宋体" w:cs="微软雅黑"/>
          <w:sz w:val="21"/>
          <w:szCs w:val="21"/>
        </w:rPr>
        <w:t>供应商登录北京市政府采购电子交易平台“用户指南”—“工具下载”—“投标文件编制工具”下载相关客户端。</w:t>
      </w:r>
    </w:p>
    <w:p>
      <w:pPr>
        <w:numPr>
          <w:ilvl w:val="0"/>
          <w:numId w:val="8"/>
        </w:numPr>
        <w:snapToGrid w:val="0"/>
        <w:spacing w:line="400" w:lineRule="exact"/>
        <w:rPr>
          <w:rFonts w:ascii="宋体" w:hAnsi="宋体" w:cs="微软雅黑"/>
          <w:sz w:val="21"/>
          <w:szCs w:val="21"/>
        </w:rPr>
      </w:pPr>
      <w:r>
        <w:rPr>
          <w:rFonts w:hint="eastAsia" w:ascii="宋体" w:hAnsi="宋体" w:cs="微软雅黑"/>
          <w:sz w:val="21"/>
          <w:szCs w:val="21"/>
        </w:rPr>
        <w:t>获取电子招标文件</w:t>
      </w:r>
    </w:p>
    <w:p>
      <w:pPr>
        <w:spacing w:line="400" w:lineRule="exact"/>
        <w:ind w:firstLine="420" w:firstLineChars="200"/>
        <w:rPr>
          <w:rFonts w:ascii="宋体" w:hAnsi="宋体" w:cs="微软雅黑"/>
          <w:sz w:val="21"/>
          <w:szCs w:val="21"/>
        </w:rPr>
      </w:pPr>
      <w:r>
        <w:rPr>
          <w:rFonts w:hint="eastAsia" w:ascii="宋体" w:hAnsi="宋体" w:cs="微软雅黑"/>
          <w:sz w:val="21"/>
          <w:szCs w:val="21"/>
        </w:rPr>
        <w:t>供应商持CA数字认证证书登录北京市政府采购电子交易平台获取电子招标文件。未在规定期限内通过北京市政府采购电子交易平台获取本项目招标文件的投标无效。</w:t>
      </w:r>
    </w:p>
    <w:p>
      <w:pPr>
        <w:numPr>
          <w:ilvl w:val="0"/>
          <w:numId w:val="8"/>
        </w:numPr>
        <w:snapToGrid w:val="0"/>
        <w:spacing w:line="400" w:lineRule="exact"/>
        <w:rPr>
          <w:rFonts w:ascii="宋体" w:hAnsi="宋体" w:cs="微软雅黑"/>
          <w:sz w:val="21"/>
          <w:szCs w:val="21"/>
        </w:rPr>
      </w:pPr>
      <w:r>
        <w:rPr>
          <w:rFonts w:hint="eastAsia" w:ascii="宋体" w:hAnsi="宋体" w:cs="微软雅黑"/>
          <w:sz w:val="21"/>
          <w:szCs w:val="21"/>
        </w:rPr>
        <w:t>编制电子投标文件</w:t>
      </w:r>
    </w:p>
    <w:p>
      <w:pPr>
        <w:spacing w:line="400" w:lineRule="exact"/>
        <w:ind w:firstLine="420" w:firstLineChars="200"/>
        <w:rPr>
          <w:rFonts w:ascii="宋体" w:hAnsi="宋体" w:cs="微软雅黑"/>
          <w:sz w:val="21"/>
          <w:szCs w:val="21"/>
        </w:rPr>
      </w:pPr>
      <w:r>
        <w:rPr>
          <w:rFonts w:hint="eastAsia" w:ascii="宋体" w:hAnsi="宋体" w:cs="微软雅黑"/>
          <w:sz w:val="21"/>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snapToGrid w:val="0"/>
        <w:spacing w:line="400" w:lineRule="exact"/>
        <w:ind w:firstLine="422" w:firstLineChars="200"/>
        <w:rPr>
          <w:rFonts w:ascii="宋体" w:hAnsi="宋体" w:cs="微软雅黑"/>
          <w:b/>
          <w:color w:val="FF0000"/>
          <w:sz w:val="21"/>
          <w:szCs w:val="21"/>
        </w:rPr>
      </w:pPr>
      <w:r>
        <w:rPr>
          <w:rFonts w:hint="eastAsia" w:ascii="宋体" w:hAnsi="宋体" w:cs="微软雅黑"/>
          <w:b/>
          <w:color w:val="FF0000"/>
          <w:sz w:val="21"/>
          <w:szCs w:val="21"/>
        </w:rPr>
        <w:t>特别提示：请投标人务必使用符合北京市政府采购电子交易平台功能的CA认证证书进行上述操作，操作同时不要插入其它认证证书。</w:t>
      </w:r>
    </w:p>
    <w:p>
      <w:pPr>
        <w:numPr>
          <w:ilvl w:val="0"/>
          <w:numId w:val="8"/>
        </w:numPr>
        <w:snapToGrid w:val="0"/>
        <w:spacing w:line="400" w:lineRule="exact"/>
        <w:rPr>
          <w:rFonts w:ascii="宋体" w:hAnsi="宋体" w:cs="微软雅黑"/>
          <w:sz w:val="21"/>
          <w:szCs w:val="21"/>
        </w:rPr>
      </w:pPr>
      <w:r>
        <w:rPr>
          <w:rFonts w:hint="eastAsia" w:ascii="宋体" w:hAnsi="宋体" w:cs="微软雅黑"/>
          <w:sz w:val="21"/>
          <w:szCs w:val="21"/>
        </w:rPr>
        <w:t>提交电子投标文件</w:t>
      </w:r>
    </w:p>
    <w:p>
      <w:pPr>
        <w:spacing w:line="400" w:lineRule="exact"/>
        <w:ind w:firstLine="420" w:firstLineChars="200"/>
        <w:rPr>
          <w:rFonts w:ascii="宋体" w:hAnsi="宋体" w:cs="微软雅黑"/>
          <w:sz w:val="21"/>
          <w:szCs w:val="21"/>
        </w:rPr>
      </w:pPr>
      <w:r>
        <w:rPr>
          <w:rFonts w:hint="eastAsia" w:ascii="宋体" w:hAnsi="宋体" w:cs="微软雅黑"/>
          <w:sz w:val="21"/>
          <w:szCs w:val="21"/>
        </w:rPr>
        <w:t>供应商应于投标截止时间前在北京市政府采购电子交易平台提交电子投标文件，上传电子投标文件过程中请保持与互联网的连接畅通。</w:t>
      </w:r>
    </w:p>
    <w:p>
      <w:pPr>
        <w:numPr>
          <w:ilvl w:val="0"/>
          <w:numId w:val="8"/>
        </w:numPr>
        <w:snapToGrid w:val="0"/>
        <w:spacing w:line="400" w:lineRule="exact"/>
        <w:rPr>
          <w:rFonts w:ascii="宋体" w:hAnsi="宋体" w:cs="微软雅黑"/>
          <w:sz w:val="21"/>
          <w:szCs w:val="21"/>
        </w:rPr>
      </w:pPr>
      <w:r>
        <w:rPr>
          <w:rFonts w:hint="eastAsia" w:ascii="宋体" w:hAnsi="宋体" w:cs="微软雅黑"/>
          <w:sz w:val="21"/>
          <w:szCs w:val="21"/>
        </w:rPr>
        <w:t>电子开标、解密</w:t>
      </w:r>
    </w:p>
    <w:p>
      <w:pPr>
        <w:spacing w:line="400" w:lineRule="exact"/>
        <w:ind w:firstLine="420" w:firstLineChars="200"/>
        <w:rPr>
          <w:rFonts w:ascii="宋体" w:hAnsi="宋体" w:cs="微软雅黑"/>
          <w:sz w:val="21"/>
          <w:szCs w:val="21"/>
        </w:rPr>
      </w:pPr>
      <w:r>
        <w:rPr>
          <w:rFonts w:hint="eastAsia" w:ascii="宋体" w:hAnsi="宋体" w:cs="微软雅黑"/>
          <w:sz w:val="21"/>
          <w:szCs w:val="21"/>
        </w:rPr>
        <w:t>供应商在规定的开标时间使用CA认证证书登录北京市政府采购电子交易平台进行远程电子开标、解密。</w:t>
      </w:r>
      <w:r>
        <w:rPr>
          <w:rFonts w:ascii="宋体" w:hAnsi="宋体" w:cs="微软雅黑"/>
          <w:sz w:val="21"/>
          <w:szCs w:val="21"/>
        </w:rPr>
        <w:br w:type="page"/>
      </w:r>
    </w:p>
    <w:p>
      <w:pPr>
        <w:pStyle w:val="29"/>
        <w:snapToGrid w:val="0"/>
        <w:spacing w:before="0" w:after="0"/>
        <w:ind w:left="0"/>
        <w:rPr>
          <w:rFonts w:ascii="宋体" w:hAnsi="宋体"/>
        </w:rPr>
      </w:pPr>
      <w:bookmarkStart w:id="43" w:name="_Toc174185152"/>
      <w:bookmarkStart w:id="44" w:name="_Toc466015311"/>
      <w:bookmarkStart w:id="45" w:name="_Toc186274104"/>
      <w:bookmarkStart w:id="46" w:name="_Toc22558"/>
      <w:r>
        <w:rPr>
          <w:rFonts w:hint="eastAsia" w:ascii="宋体" w:hAnsi="宋体"/>
        </w:rPr>
        <w:t xml:space="preserve">  投标人须知前附表</w:t>
      </w:r>
      <w:bookmarkEnd w:id="43"/>
      <w:bookmarkEnd w:id="44"/>
      <w:bookmarkEnd w:id="45"/>
      <w:bookmarkEnd w:id="46"/>
    </w:p>
    <w:p>
      <w:pPr>
        <w:pStyle w:val="29"/>
        <w:numPr>
          <w:ilvl w:val="0"/>
          <w:numId w:val="0"/>
        </w:numPr>
        <w:snapToGrid w:val="0"/>
        <w:spacing w:before="0" w:after="0"/>
        <w:jc w:val="left"/>
        <w:rPr>
          <w:rFonts w:cs="微软雅黑"/>
          <w:color w:val="FF0000"/>
          <w:sz w:val="21"/>
          <w:szCs w:val="21"/>
        </w:rPr>
      </w:pPr>
    </w:p>
    <w:p>
      <w:pPr>
        <w:pStyle w:val="29"/>
        <w:numPr>
          <w:ilvl w:val="0"/>
          <w:numId w:val="0"/>
        </w:numPr>
        <w:snapToGrid w:val="0"/>
        <w:spacing w:before="0" w:after="0"/>
        <w:ind w:firstLine="413" w:firstLineChars="196"/>
        <w:jc w:val="left"/>
        <w:rPr>
          <w:rFonts w:cs="微软雅黑"/>
          <w:color w:val="FF0000"/>
          <w:sz w:val="21"/>
          <w:szCs w:val="21"/>
        </w:rPr>
      </w:pPr>
      <w:r>
        <w:rPr>
          <w:rFonts w:hint="eastAsia" w:cs="微软雅黑"/>
          <w:color w:val="FF0000"/>
          <w:sz w:val="21"/>
          <w:szCs w:val="21"/>
        </w:rPr>
        <w:t>招标文件中所有带</w:t>
      </w:r>
      <w:r>
        <w:rPr>
          <w:rFonts w:cs="微软雅黑"/>
          <w:color w:val="FF0000"/>
          <w:sz w:val="21"/>
          <w:szCs w:val="21"/>
        </w:rPr>
        <w:t>*</w:t>
      </w:r>
      <w:r>
        <w:rPr>
          <w:rFonts w:hint="eastAsia" w:cs="微软雅黑"/>
          <w:color w:val="FF0000"/>
          <w:sz w:val="21"/>
          <w:szCs w:val="21"/>
        </w:rPr>
        <w:t>条款均为实质性响应条款，电子投标文件须完全响应，未实质响应的，按照无效投标处理。</w:t>
      </w:r>
    </w:p>
    <w:p>
      <w:pPr>
        <w:pStyle w:val="29"/>
        <w:numPr>
          <w:ilvl w:val="0"/>
          <w:numId w:val="0"/>
        </w:numPr>
        <w:snapToGrid w:val="0"/>
        <w:spacing w:before="0" w:after="0"/>
        <w:rPr>
          <w:rFonts w:cs="微软雅黑"/>
          <w:sz w:val="21"/>
          <w:szCs w:val="21"/>
        </w:rPr>
      </w:pPr>
      <w:r>
        <w:rPr>
          <w:rFonts w:hint="eastAsia" w:cs="微软雅黑"/>
          <w:sz w:val="21"/>
          <w:szCs w:val="21"/>
        </w:rPr>
        <w:t>第一包  广播电视监测监管网络租用</w:t>
      </w:r>
    </w:p>
    <w:tbl>
      <w:tblPr>
        <w:tblStyle w:val="1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411"/>
        <w:gridCol w:w="2979"/>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insoku w:val="0"/>
              <w:overflowPunct w:val="0"/>
              <w:autoSpaceDE w:val="0"/>
              <w:autoSpaceDN w:val="0"/>
              <w:snapToGrid w:val="0"/>
              <w:spacing w:line="320" w:lineRule="exact"/>
              <w:jc w:val="center"/>
              <w:textAlignment w:val="auto"/>
              <w:rPr>
                <w:rFonts w:ascii="宋体" w:hAnsi="宋体" w:cs="微软雅黑"/>
                <w:b/>
                <w:bCs/>
                <w:sz w:val="21"/>
                <w:szCs w:val="21"/>
              </w:rPr>
            </w:pPr>
            <w:r>
              <w:rPr>
                <w:rFonts w:hint="eastAsia" w:ascii="宋体" w:hAnsi="宋体" w:cs="微软雅黑"/>
                <w:b/>
                <w:bCs/>
                <w:sz w:val="21"/>
                <w:szCs w:val="21"/>
              </w:rPr>
              <w:t>序号</w:t>
            </w:r>
          </w:p>
        </w:tc>
        <w:tc>
          <w:tcPr>
            <w:tcW w:w="2411" w:type="dxa"/>
            <w:vAlign w:val="center"/>
          </w:tcPr>
          <w:p>
            <w:pPr>
              <w:kinsoku w:val="0"/>
              <w:overflowPunct w:val="0"/>
              <w:autoSpaceDE w:val="0"/>
              <w:autoSpaceDN w:val="0"/>
              <w:snapToGrid w:val="0"/>
              <w:spacing w:line="320" w:lineRule="exact"/>
              <w:jc w:val="center"/>
              <w:textAlignment w:val="auto"/>
              <w:rPr>
                <w:rFonts w:ascii="宋体" w:hAnsi="宋体" w:cs="微软雅黑"/>
                <w:b/>
                <w:bCs/>
                <w:sz w:val="21"/>
                <w:szCs w:val="21"/>
              </w:rPr>
            </w:pPr>
            <w:r>
              <w:rPr>
                <w:rFonts w:hint="eastAsia" w:ascii="宋体" w:hAnsi="宋体" w:cs="微软雅黑"/>
                <w:b/>
                <w:bCs/>
                <w:sz w:val="21"/>
                <w:szCs w:val="21"/>
              </w:rPr>
              <w:t>项  目</w:t>
            </w:r>
          </w:p>
        </w:tc>
        <w:tc>
          <w:tcPr>
            <w:tcW w:w="2979" w:type="dxa"/>
            <w:vAlign w:val="center"/>
          </w:tcPr>
          <w:p>
            <w:pPr>
              <w:pStyle w:val="12"/>
              <w:kinsoku w:val="0"/>
              <w:overflowPunct w:val="0"/>
              <w:autoSpaceDE w:val="0"/>
              <w:autoSpaceDN w:val="0"/>
              <w:adjustRightInd w:val="0"/>
              <w:snapToGrid w:val="0"/>
              <w:spacing w:line="320" w:lineRule="exact"/>
              <w:jc w:val="center"/>
              <w:rPr>
                <w:rFonts w:hAnsi="宋体" w:cs="微软雅黑"/>
                <w:b/>
                <w:bCs/>
              </w:rPr>
            </w:pPr>
            <w:r>
              <w:rPr>
                <w:rFonts w:hint="eastAsia" w:hAnsi="宋体" w:cs="微软雅黑"/>
                <w:b/>
                <w:bCs/>
              </w:rPr>
              <w:t>内  容</w:t>
            </w:r>
          </w:p>
        </w:tc>
        <w:tc>
          <w:tcPr>
            <w:tcW w:w="3223"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r>
              <w:rPr>
                <w:rFonts w:hint="eastAsia" w:hAnsi="宋体" w:cs="微软雅黑"/>
                <w:b/>
                <w:bCs/>
                <w:kern w:val="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jc w:val="center"/>
              <w:rPr>
                <w:rFonts w:ascii="宋体" w:hAnsi="宋体"/>
                <w:sz w:val="21"/>
                <w:szCs w:val="21"/>
              </w:rPr>
            </w:pPr>
            <w:r>
              <w:rPr>
                <w:rFonts w:hint="eastAsia" w:ascii="宋体" w:hAnsi="宋体" w:cs="微软雅黑"/>
                <w:sz w:val="21"/>
                <w:szCs w:val="21"/>
              </w:rPr>
              <w:t>电子投标文件</w:t>
            </w:r>
          </w:p>
        </w:tc>
        <w:tc>
          <w:tcPr>
            <w:tcW w:w="2979" w:type="dxa"/>
            <w:vAlign w:val="center"/>
          </w:tcPr>
          <w:p>
            <w:pPr>
              <w:pStyle w:val="12"/>
              <w:kinsoku w:val="0"/>
              <w:overflowPunct w:val="0"/>
              <w:autoSpaceDE w:val="0"/>
              <w:autoSpaceDN w:val="0"/>
              <w:spacing w:line="320" w:lineRule="exact"/>
              <w:rPr>
                <w:rFonts w:hAnsi="宋体"/>
              </w:rPr>
            </w:pPr>
            <w:r>
              <w:rPr>
                <w:rFonts w:hint="eastAsia" w:hAnsi="宋体"/>
                <w:kern w:val="0"/>
              </w:rPr>
              <w:t>提交电子投标文件：</w:t>
            </w:r>
          </w:p>
          <w:p>
            <w:pPr>
              <w:pStyle w:val="12"/>
              <w:kinsoku w:val="0"/>
              <w:overflowPunct w:val="0"/>
              <w:autoSpaceDE w:val="0"/>
              <w:autoSpaceDN w:val="0"/>
              <w:spacing w:line="320" w:lineRule="exact"/>
              <w:rPr>
                <w:rFonts w:hAnsi="宋体"/>
              </w:rPr>
            </w:pPr>
            <w:r>
              <w:rPr>
                <w:rFonts w:hint="eastAsia" w:hAnsi="宋体"/>
                <w:kern w:val="0"/>
              </w:rPr>
              <w:t>1、资格证明文件</w:t>
            </w:r>
          </w:p>
          <w:p>
            <w:pPr>
              <w:pStyle w:val="12"/>
              <w:kinsoku w:val="0"/>
              <w:overflowPunct w:val="0"/>
              <w:autoSpaceDE w:val="0"/>
              <w:autoSpaceDN w:val="0"/>
              <w:spacing w:line="320" w:lineRule="exact"/>
              <w:rPr>
                <w:rFonts w:hAnsi="宋体"/>
              </w:rPr>
            </w:pPr>
            <w:r>
              <w:rPr>
                <w:rFonts w:hint="eastAsia" w:hAnsi="宋体"/>
                <w:kern w:val="0"/>
              </w:rPr>
              <w:t>2、技术文件</w:t>
            </w:r>
          </w:p>
        </w:tc>
        <w:tc>
          <w:tcPr>
            <w:tcW w:w="3223" w:type="dxa"/>
            <w:vAlign w:val="center"/>
          </w:tcPr>
          <w:p>
            <w:pPr>
              <w:pStyle w:val="12"/>
              <w:kinsoku w:val="0"/>
              <w:overflowPunct w:val="0"/>
              <w:autoSpaceDE w:val="0"/>
              <w:autoSpaceDN w:val="0"/>
              <w:spacing w:line="320" w:lineRule="exact"/>
              <w:rPr>
                <w:rFonts w:hAnsi="宋体"/>
              </w:rPr>
            </w:pPr>
            <w:r>
              <w:rPr>
                <w:rFonts w:hint="eastAsia" w:hAnsi="宋体"/>
                <w:kern w:val="0"/>
              </w:rPr>
              <w:t>未提交电子投标文件的，作无效投标处理。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restart"/>
            <w:vAlign w:val="center"/>
          </w:tcPr>
          <w:p>
            <w:pPr>
              <w:jc w:val="center"/>
              <w:rPr>
                <w:rFonts w:ascii="宋体" w:hAnsi="宋体" w:cs="微软雅黑"/>
                <w:bCs/>
                <w:sz w:val="21"/>
                <w:szCs w:val="21"/>
              </w:rPr>
            </w:pPr>
            <w:r>
              <w:rPr>
                <w:rFonts w:hint="eastAsia" w:ascii="宋体" w:hAnsi="宋体" w:cs="微软雅黑"/>
                <w:bCs/>
                <w:sz w:val="21"/>
                <w:szCs w:val="21"/>
              </w:rPr>
              <w:t>投标人应提交的资格证明文件</w:t>
            </w:r>
          </w:p>
        </w:tc>
        <w:tc>
          <w:tcPr>
            <w:tcW w:w="2979" w:type="dxa"/>
            <w:vAlign w:val="center"/>
          </w:tcPr>
          <w:p>
            <w:pPr>
              <w:pStyle w:val="12"/>
              <w:numPr>
                <w:ilvl w:val="0"/>
                <w:numId w:val="10"/>
              </w:numPr>
              <w:kinsoku w:val="0"/>
              <w:overflowPunct w:val="0"/>
              <w:autoSpaceDE w:val="0"/>
              <w:autoSpaceDN w:val="0"/>
              <w:spacing w:line="320" w:lineRule="exact"/>
              <w:rPr>
                <w:rFonts w:hAnsi="宋体" w:cs="微软雅黑"/>
                <w:bCs/>
                <w:kern w:val="0"/>
              </w:rPr>
            </w:pPr>
            <w:r>
              <w:rPr>
                <w:rFonts w:hint="eastAsia" w:hAnsi="宋体"/>
                <w:kern w:val="0"/>
              </w:rPr>
              <w:t>*</w:t>
            </w:r>
            <w:r>
              <w:rPr>
                <w:rFonts w:hint="eastAsia" w:hAnsi="宋体"/>
              </w:rPr>
              <w:t>法人、其他组织或者自然人的证明文件</w:t>
            </w:r>
          </w:p>
        </w:tc>
        <w:tc>
          <w:tcPr>
            <w:tcW w:w="3223" w:type="dxa"/>
          </w:tcPr>
          <w:p>
            <w:pPr>
              <w:pStyle w:val="12"/>
              <w:kinsoku w:val="0"/>
              <w:overflowPunct w:val="0"/>
              <w:autoSpaceDE w:val="0"/>
              <w:autoSpaceDN w:val="0"/>
              <w:spacing w:line="320" w:lineRule="exact"/>
              <w:rPr>
                <w:rFonts w:hAnsi="宋体"/>
              </w:rPr>
            </w:pPr>
            <w:r>
              <w:rPr>
                <w:rFonts w:hint="eastAsia" w:hAnsi="宋体"/>
              </w:rPr>
              <w:t>根据投标人实际主体身份，提供投标人自身的包括但不限于</w:t>
            </w:r>
            <w:r>
              <w:rPr>
                <w:rFonts w:hint="eastAsia" w:hAnsi="宋体"/>
                <w:b/>
                <w:color w:val="FF0000"/>
                <w:kern w:val="0"/>
              </w:rPr>
              <w:t>营业执照或事业单位法人证书等</w:t>
            </w:r>
            <w:r>
              <w:rPr>
                <w:rFonts w:hint="eastAsia" w:hAnsi="宋体"/>
              </w:rPr>
              <w:t>复印件。</w:t>
            </w:r>
          </w:p>
          <w:p>
            <w:pPr>
              <w:pStyle w:val="12"/>
              <w:kinsoku w:val="0"/>
              <w:overflowPunct w:val="0"/>
              <w:autoSpaceDE w:val="0"/>
              <w:autoSpaceDN w:val="0"/>
              <w:spacing w:line="320" w:lineRule="exact"/>
              <w:rPr>
                <w:rFonts w:hAnsi="宋体"/>
              </w:rPr>
            </w:pPr>
            <w:r>
              <w:rPr>
                <w:rFonts w:hint="eastAsia" w:hAnsi="宋体"/>
              </w:rPr>
              <w:t>（特别说明：</w:t>
            </w:r>
          </w:p>
          <w:p>
            <w:pPr>
              <w:pStyle w:val="12"/>
              <w:kinsoku w:val="0"/>
              <w:overflowPunct w:val="0"/>
              <w:autoSpaceDE w:val="0"/>
              <w:autoSpaceDN w:val="0"/>
              <w:spacing w:line="320" w:lineRule="exact"/>
              <w:rPr>
                <w:rFonts w:hAnsi="宋体"/>
              </w:rPr>
            </w:pPr>
            <w:r>
              <w:rPr>
                <w:rFonts w:hint="eastAsia" w:hAnsi="宋体"/>
                <w:kern w:val="0"/>
              </w:rPr>
              <w:t>*如投标人为</w:t>
            </w:r>
            <w:r>
              <w:rPr>
                <w:rFonts w:hint="eastAsia" w:hAnsi="宋体" w:cs="微软雅黑"/>
              </w:rPr>
              <w:t>分支机构的，除提供上述</w:t>
            </w:r>
            <w:r>
              <w:rPr>
                <w:rFonts w:hint="eastAsia" w:hAnsi="宋体"/>
              </w:rPr>
              <w:t>投标人自身的</w:t>
            </w:r>
            <w:r>
              <w:rPr>
                <w:rFonts w:hint="eastAsia" w:hAnsi="宋体"/>
                <w:kern w:val="0"/>
              </w:rPr>
              <w:t>营业执照等</w:t>
            </w:r>
            <w:r>
              <w:rPr>
                <w:rFonts w:hint="eastAsia" w:hAnsi="宋体"/>
              </w:rPr>
              <w:t>复印件外，</w:t>
            </w:r>
            <w:r>
              <w:rPr>
                <w:rFonts w:hint="eastAsia" w:hAnsi="宋体" w:cs="微软雅黑"/>
              </w:rPr>
              <w:t>还须同时提供设立该投标人的上级单位（指总公司等）对投标人的授权委托书，</w:t>
            </w:r>
            <w:r>
              <w:rPr>
                <w:rFonts w:hint="eastAsia" w:hAnsi="宋体"/>
              </w:rPr>
              <w:t>根据招标文件提供格式填写。</w:t>
            </w:r>
          </w:p>
          <w:p>
            <w:pPr>
              <w:pStyle w:val="12"/>
              <w:kinsoku w:val="0"/>
              <w:overflowPunct w:val="0"/>
              <w:autoSpaceDE w:val="0"/>
              <w:autoSpaceDN w:val="0"/>
              <w:spacing w:line="320" w:lineRule="exact"/>
              <w:rPr>
                <w:rFonts w:hAnsi="宋体" w:cs="微软雅黑"/>
                <w:bCs/>
                <w:kern w:val="0"/>
              </w:rPr>
            </w:pPr>
            <w:r>
              <w:rPr>
                <w:rFonts w:hint="eastAsia" w:hAnsi="宋体"/>
              </w:rPr>
              <w:t>投标人不属于分支机构的，无须提供本授权委托书。）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cs="微软雅黑"/>
                <w:bCs/>
                <w:kern w:val="0"/>
              </w:rPr>
            </w:pPr>
            <w:r>
              <w:rPr>
                <w:rFonts w:hint="eastAsia" w:hAnsi="宋体"/>
                <w:kern w:val="0"/>
              </w:rPr>
              <w:t>*</w:t>
            </w:r>
            <w:r>
              <w:rPr>
                <w:rFonts w:hint="eastAsia" w:cs="微软雅黑"/>
              </w:rPr>
              <w:t>投标人授权委托书或投标人</w:t>
            </w:r>
            <w:r>
              <w:rPr>
                <w:rFonts w:hint="eastAsia"/>
              </w:rPr>
              <w:t>法定代表人声明</w:t>
            </w:r>
          </w:p>
        </w:tc>
        <w:tc>
          <w:tcPr>
            <w:tcW w:w="3223" w:type="dxa"/>
          </w:tcPr>
          <w:p>
            <w:pPr>
              <w:pStyle w:val="12"/>
              <w:kinsoku w:val="0"/>
              <w:overflowPunct w:val="0"/>
              <w:autoSpaceDE w:val="0"/>
              <w:autoSpaceDN w:val="0"/>
              <w:spacing w:line="320" w:lineRule="exact"/>
              <w:rPr>
                <w:rFonts w:hAnsi="宋体"/>
                <w:kern w:val="0"/>
              </w:rPr>
            </w:pPr>
            <w:r>
              <w:rPr>
                <w:rFonts w:hint="eastAsia" w:hAnsi="宋体"/>
                <w:kern w:val="0"/>
              </w:rPr>
              <w:t>参考招标文件格式提供。根据投标人参与项目实际情况提供下列文件之一即可。</w:t>
            </w:r>
            <w:r>
              <w:rPr>
                <w:rFonts w:hint="eastAsia" w:hAnsi="宋体"/>
                <w:b/>
                <w:color w:val="FF0000"/>
                <w:kern w:val="0"/>
              </w:rPr>
              <w:t>（提示：法定代表人栏目须手写签字或加盖名章后制作为PDF后并加盖电子签章）</w:t>
            </w:r>
            <w:r>
              <w:rPr>
                <w:rFonts w:hint="eastAsia" w:hAnsi="宋体"/>
                <w:kern w:val="0"/>
              </w:rPr>
              <w:t>。</w:t>
            </w:r>
          </w:p>
          <w:p>
            <w:pPr>
              <w:pStyle w:val="12"/>
              <w:kinsoku w:val="0"/>
              <w:overflowPunct w:val="0"/>
              <w:autoSpaceDE w:val="0"/>
              <w:autoSpaceDN w:val="0"/>
              <w:spacing w:line="320" w:lineRule="exact"/>
              <w:rPr>
                <w:rFonts w:hAnsi="宋体"/>
                <w:kern w:val="0"/>
              </w:rPr>
            </w:pPr>
            <w:r>
              <w:rPr>
                <w:rFonts w:hint="eastAsia" w:hAnsi="宋体" w:cs="微软雅黑"/>
                <w:bCs/>
              </w:rPr>
              <w:t>（1）</w:t>
            </w:r>
            <w:r>
              <w:rPr>
                <w:rFonts w:hint="eastAsia"/>
              </w:rPr>
              <w:t>非法定代表人提交投标文件时,须提供投标人授权委托书</w:t>
            </w:r>
            <w:r>
              <w:rPr>
                <w:rFonts w:hint="eastAsia" w:hAnsi="宋体"/>
                <w:kern w:val="0"/>
              </w:rPr>
              <w:t>。</w:t>
            </w:r>
          </w:p>
          <w:p>
            <w:pPr>
              <w:pStyle w:val="12"/>
              <w:kinsoku w:val="0"/>
              <w:overflowPunct w:val="0"/>
              <w:autoSpaceDE w:val="0"/>
              <w:autoSpaceDN w:val="0"/>
              <w:spacing w:line="320" w:lineRule="exact"/>
              <w:rPr>
                <w:rFonts w:hAnsi="宋体"/>
                <w:kern w:val="0"/>
              </w:rPr>
            </w:pPr>
            <w:r>
              <w:rPr>
                <w:rFonts w:hint="eastAsia" w:hAnsi="宋体" w:cs="微软雅黑"/>
                <w:bCs/>
              </w:rPr>
              <w:t>（2）</w:t>
            </w:r>
            <w:r>
              <w:rPr>
                <w:rFonts w:hint="eastAsia" w:hAnsi="宋体"/>
                <w:kern w:val="0"/>
              </w:rPr>
              <w:t>法定代表人提交投标文件时，须提供投标人法定代表人声明。</w:t>
            </w:r>
          </w:p>
          <w:p>
            <w:pPr>
              <w:pStyle w:val="12"/>
              <w:kinsoku w:val="0"/>
              <w:overflowPunct w:val="0"/>
              <w:autoSpaceDE w:val="0"/>
              <w:autoSpaceDN w:val="0"/>
              <w:spacing w:line="320" w:lineRule="exact"/>
              <w:rPr>
                <w:rFonts w:hAnsi="宋体"/>
                <w:kern w:val="0"/>
              </w:rPr>
            </w:pPr>
            <w:r>
              <w:rPr>
                <w:rFonts w:hint="eastAsia" w:hAnsi="宋体"/>
              </w:rPr>
              <w:t>（特别</w:t>
            </w:r>
            <w:r>
              <w:rPr>
                <w:rFonts w:hint="eastAsia" w:hAnsi="宋体"/>
                <w:kern w:val="0"/>
              </w:rPr>
              <w:t>说明：</w:t>
            </w:r>
          </w:p>
          <w:p>
            <w:pPr>
              <w:pStyle w:val="12"/>
              <w:kinsoku w:val="0"/>
              <w:overflowPunct w:val="0"/>
              <w:autoSpaceDE w:val="0"/>
              <w:autoSpaceDN w:val="0"/>
              <w:spacing w:line="320" w:lineRule="exact"/>
              <w:rPr>
                <w:rFonts w:hAnsi="宋体" w:cs="微软雅黑"/>
                <w:bCs/>
                <w:kern w:val="0"/>
              </w:rPr>
            </w:pPr>
            <w:r>
              <w:rPr>
                <w:rFonts w:hint="eastAsia" w:hAnsi="宋体"/>
                <w:kern w:val="0"/>
              </w:rPr>
              <w:t>如投标人为</w:t>
            </w:r>
            <w:r>
              <w:rPr>
                <w:rFonts w:hint="eastAsia" w:hAnsi="宋体" w:cs="微软雅黑"/>
              </w:rPr>
              <w:t>非法人单位的，此处法定代表人指其相关证明文件中该单位的负责人、投资人、合伙人、经营者等。</w:t>
            </w:r>
            <w:r>
              <w:rPr>
                <w:rFonts w:hint="eastAsia"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rPr>
            </w:pPr>
            <w:r>
              <w:rPr>
                <w:rFonts w:hint="eastAsia" w:hAnsi="宋体"/>
                <w:kern w:val="0"/>
              </w:rPr>
              <w:t>*资格条件承诺书</w:t>
            </w:r>
          </w:p>
        </w:tc>
        <w:tc>
          <w:tcPr>
            <w:tcW w:w="3223" w:type="dxa"/>
          </w:tcPr>
          <w:p>
            <w:pPr>
              <w:kinsoku w:val="0"/>
              <w:overflowPunct w:val="0"/>
              <w:autoSpaceDE w:val="0"/>
              <w:autoSpaceDN w:val="0"/>
              <w:snapToGrid w:val="0"/>
              <w:spacing w:line="320" w:lineRule="exact"/>
              <w:rPr>
                <w:rFonts w:ascii="宋体" w:hAnsi="宋体"/>
                <w:sz w:val="21"/>
                <w:szCs w:val="21"/>
              </w:rPr>
            </w:pPr>
            <w:r>
              <w:rPr>
                <w:rFonts w:hint="eastAsia" w:ascii="宋体" w:hAnsi="宋体"/>
                <w:sz w:val="21"/>
                <w:szCs w:val="21"/>
              </w:rPr>
              <w:t>根据招标文件提供格式填写，加盖投标人电子签章。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cs="微软雅黑"/>
                <w:bCs/>
                <w:kern w:val="0"/>
              </w:rPr>
            </w:pPr>
            <w:r>
              <w:rPr>
                <w:rFonts w:hint="eastAsia" w:hAnsi="宋体"/>
                <w:kern w:val="0"/>
              </w:rPr>
              <w:t>信用记录情况</w:t>
            </w:r>
          </w:p>
        </w:tc>
        <w:tc>
          <w:tcPr>
            <w:tcW w:w="3223" w:type="dxa"/>
          </w:tcPr>
          <w:p>
            <w:pPr>
              <w:kinsoku w:val="0"/>
              <w:overflowPunct w:val="0"/>
              <w:autoSpaceDE w:val="0"/>
              <w:autoSpaceDN w:val="0"/>
              <w:snapToGrid w:val="0"/>
              <w:spacing w:line="320" w:lineRule="exact"/>
              <w:rPr>
                <w:rFonts w:ascii="宋体" w:hAnsi="宋体"/>
                <w:sz w:val="21"/>
                <w:szCs w:val="21"/>
              </w:rPr>
            </w:pPr>
            <w:r>
              <w:rPr>
                <w:rFonts w:hint="eastAsia" w:ascii="宋体" w:hAnsi="宋体"/>
                <w:sz w:val="21"/>
                <w:szCs w:val="21"/>
              </w:rPr>
              <w:t>本条为资格性审查事项之一，无须投标人在电子投标文件中提供。</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采购人</w:t>
            </w:r>
            <w:r>
              <w:rPr>
                <w:rFonts w:hint="eastAsia" w:ascii="宋体" w:hAnsi="宋体"/>
                <w:sz w:val="21"/>
                <w:szCs w:val="21"/>
              </w:rPr>
              <w:t>根据财政部《</w:t>
            </w:r>
            <w:r>
              <w:rPr>
                <w:rFonts w:hint="eastAsia" w:ascii="宋体" w:hAnsi="宋体" w:cs="微软雅黑"/>
                <w:bCs/>
                <w:sz w:val="21"/>
                <w:szCs w:val="21"/>
              </w:rPr>
              <w:t>关于在政府采购活动中查询及使用信用记录有关问题的通知</w:t>
            </w:r>
            <w:r>
              <w:rPr>
                <w:rFonts w:hint="eastAsia" w:ascii="宋体" w:hAnsi="宋体"/>
                <w:sz w:val="21"/>
                <w:szCs w:val="21"/>
              </w:rPr>
              <w:t>》（财库</w:t>
            </w:r>
            <w:r>
              <w:rPr>
                <w:rFonts w:hint="eastAsia" w:ascii="宋体" w:hAnsi="宋体" w:cs="微软雅黑"/>
                <w:bCs/>
                <w:sz w:val="21"/>
                <w:szCs w:val="21"/>
              </w:rPr>
              <w:t>〔2016〕</w:t>
            </w:r>
            <w:r>
              <w:rPr>
                <w:rFonts w:hint="eastAsia" w:ascii="宋体" w:hAnsi="宋体"/>
                <w:sz w:val="21"/>
                <w:szCs w:val="21"/>
              </w:rPr>
              <w:t>125号）要求，</w:t>
            </w:r>
            <w:r>
              <w:rPr>
                <w:rFonts w:hint="eastAsia" w:ascii="宋体" w:hAnsi="宋体" w:cs="微软雅黑"/>
                <w:bCs/>
                <w:sz w:val="21"/>
                <w:szCs w:val="21"/>
              </w:rPr>
              <w:t>在评审现场通过“信用中国”网站(www.creditchina.gov.cn)、中国政府采购网(www.ccgp.gov.cn)等渠道查询及审查投标人的相关信用记录，并将查询的结果网页截屏与评审资料一并保存。</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（1）如投标人在采购人评审时查询到的信用记录结果中显示被列入失信被执行人、重大税收违法案件当事人名单、政府采购严重违法失信行为记录名单，其投标作无效投标处理。</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2）如投标人在采购人评审时查询到的信用记录结果中显示其在参加本次政府采购活动前三年内，在经营活动中因违法经营受到刑事处罚或者责令停产停业、吊销许可证或者执照、较大数额罚款等行政处罚的，属于存在重大违法记录，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restart"/>
            <w:vAlign w:val="center"/>
          </w:tcPr>
          <w:p>
            <w:pPr>
              <w:kinsoku w:val="0"/>
              <w:overflowPunct w:val="0"/>
              <w:autoSpaceDE w:val="0"/>
              <w:autoSpaceDN w:val="0"/>
              <w:snapToGrid w:val="0"/>
              <w:spacing w:line="320" w:lineRule="exact"/>
              <w:jc w:val="center"/>
              <w:rPr>
                <w:rFonts w:ascii="宋体" w:hAnsi="宋体"/>
                <w:sz w:val="21"/>
                <w:szCs w:val="21"/>
              </w:rPr>
            </w:pPr>
            <w:r>
              <w:rPr>
                <w:rFonts w:hint="eastAsia" w:ascii="宋体" w:hAnsi="宋体" w:cs="微软雅黑"/>
                <w:bCs/>
                <w:sz w:val="21"/>
                <w:szCs w:val="21"/>
              </w:rPr>
              <w:t>投标人应提交的技术文件</w:t>
            </w:r>
          </w:p>
        </w:tc>
        <w:tc>
          <w:tcPr>
            <w:tcW w:w="2979" w:type="dxa"/>
            <w:vAlign w:val="center"/>
          </w:tcPr>
          <w:p>
            <w:pPr>
              <w:pStyle w:val="12"/>
              <w:numPr>
                <w:ilvl w:val="0"/>
                <w:numId w:val="10"/>
              </w:numPr>
              <w:kinsoku w:val="0"/>
              <w:overflowPunct w:val="0"/>
              <w:autoSpaceDE w:val="0"/>
              <w:autoSpaceDN w:val="0"/>
              <w:spacing w:line="320" w:lineRule="exact"/>
              <w:rPr>
                <w:rFonts w:hAnsi="宋体" w:cs="微软雅黑"/>
                <w:bCs/>
                <w:kern w:val="0"/>
              </w:rPr>
            </w:pPr>
            <w:r>
              <w:rPr>
                <w:rFonts w:hint="eastAsia" w:hAnsi="宋体"/>
                <w:kern w:val="0"/>
              </w:rPr>
              <w:t>*投标函</w:t>
            </w:r>
          </w:p>
        </w:tc>
        <w:tc>
          <w:tcPr>
            <w:tcW w:w="3223" w:type="dxa"/>
          </w:tcPr>
          <w:p>
            <w:pPr>
              <w:pStyle w:val="12"/>
              <w:kinsoku w:val="0"/>
              <w:overflowPunct w:val="0"/>
              <w:autoSpaceDE w:val="0"/>
              <w:autoSpaceDN w:val="0"/>
              <w:spacing w:line="320" w:lineRule="exact"/>
              <w:rPr>
                <w:rFonts w:hAnsi="宋体" w:cs="微软雅黑"/>
                <w:bCs/>
                <w:kern w:val="0"/>
              </w:rPr>
            </w:pPr>
            <w:r>
              <w:rPr>
                <w:rFonts w:hint="eastAsia" w:hAnsi="宋体"/>
                <w:kern w:val="0"/>
              </w:rPr>
              <w:t>根据招标文件提供格式填写，加盖投标人电子签章。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kinsoku w:val="0"/>
              <w:overflowPunct w:val="0"/>
              <w:autoSpaceDE w:val="0"/>
              <w:autoSpaceDN w:val="0"/>
              <w:snapToGrid w:val="0"/>
              <w:spacing w:line="320" w:lineRule="exact"/>
              <w:jc w:val="center"/>
              <w:rPr>
                <w:rFonts w:ascii="宋体" w:hAnsi="宋体" w:cs="微软雅黑"/>
                <w:bCs/>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*投标分项报价表</w:t>
            </w:r>
          </w:p>
        </w:tc>
        <w:tc>
          <w:tcPr>
            <w:tcW w:w="3223" w:type="dxa"/>
          </w:tcPr>
          <w:p>
            <w:pPr>
              <w:pStyle w:val="12"/>
              <w:kinsoku w:val="0"/>
              <w:overflowPunct w:val="0"/>
              <w:autoSpaceDE w:val="0"/>
              <w:autoSpaceDN w:val="0"/>
              <w:spacing w:line="320" w:lineRule="exact"/>
              <w:rPr>
                <w:rFonts w:hAnsi="宋体"/>
                <w:kern w:val="0"/>
              </w:rPr>
            </w:pPr>
            <w:r>
              <w:rPr>
                <w:rFonts w:hint="eastAsia" w:hAnsi="宋体"/>
                <w:kern w:val="0"/>
              </w:rPr>
              <w:t>参考招标文件提供格式自行编制，加盖投标人电子签章(报价</w:t>
            </w:r>
            <w:r>
              <w:rPr>
                <w:rFonts w:hAnsi="宋体"/>
                <w:kern w:val="0"/>
              </w:rPr>
              <w:t>单位：元</w:t>
            </w:r>
            <w:r>
              <w:rPr>
                <w:rFonts w:hint="eastAsia"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kinsoku w:val="0"/>
              <w:overflowPunct w:val="0"/>
              <w:autoSpaceDE w:val="0"/>
              <w:autoSpaceDN w:val="0"/>
              <w:snapToGrid w:val="0"/>
              <w:spacing w:line="320" w:lineRule="exact"/>
              <w:jc w:val="center"/>
              <w:rPr>
                <w:rFonts w:ascii="宋体" w:hAnsi="宋体" w:cs="微软雅黑"/>
                <w:bCs/>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中小微企业政策文件</w:t>
            </w:r>
          </w:p>
        </w:tc>
        <w:tc>
          <w:tcPr>
            <w:tcW w:w="3223" w:type="dxa"/>
          </w:tcPr>
          <w:p>
            <w:pPr>
              <w:kinsoku w:val="0"/>
              <w:overflowPunct w:val="0"/>
              <w:autoSpaceDE w:val="0"/>
              <w:autoSpaceDN w:val="0"/>
              <w:snapToGrid w:val="0"/>
              <w:spacing w:line="320" w:lineRule="exact"/>
              <w:rPr>
                <w:rFonts w:ascii="宋体" w:hAnsi="宋体"/>
                <w:sz w:val="21"/>
                <w:szCs w:val="21"/>
              </w:rPr>
            </w:pPr>
            <w:r>
              <w:rPr>
                <w:rFonts w:hint="eastAsia" w:ascii="宋体" w:hAnsi="宋体"/>
                <w:sz w:val="21"/>
                <w:szCs w:val="21"/>
              </w:rPr>
              <w:t>根据招标文件提供格式填写，加盖投标人电子签章。</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sz w:val="21"/>
                <w:szCs w:val="21"/>
              </w:rPr>
              <w:t>说明：</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（1）</w:t>
            </w:r>
            <w:r>
              <w:rPr>
                <w:rFonts w:hint="eastAsia" w:ascii="宋体" w:hAnsi="宋体"/>
                <w:sz w:val="21"/>
                <w:szCs w:val="21"/>
              </w:rPr>
              <w:t>根据财政部 、工业和信息化部关于印发《政府采购促进中小企业发展管理办法》的通知（财库</w:t>
            </w:r>
            <w:r>
              <w:rPr>
                <w:rFonts w:hint="eastAsia" w:ascii="宋体" w:hAnsi="宋体" w:cs="微软雅黑"/>
                <w:bCs/>
                <w:sz w:val="21"/>
                <w:szCs w:val="21"/>
              </w:rPr>
              <w:t>〔2020〕</w:t>
            </w:r>
            <w:r>
              <w:rPr>
                <w:rFonts w:hint="eastAsia" w:ascii="宋体" w:hAnsi="宋体"/>
                <w:sz w:val="21"/>
                <w:szCs w:val="21"/>
              </w:rPr>
              <w:t>46号）的要求，</w:t>
            </w:r>
            <w:r>
              <w:rPr>
                <w:rFonts w:hint="eastAsia" w:ascii="宋体" w:hAnsi="宋体" w:cs="微软雅黑"/>
                <w:b/>
                <w:bCs/>
                <w:sz w:val="21"/>
                <w:szCs w:val="21"/>
              </w:rPr>
              <w:t>投标人提供的货物、工程或者服务符合享受本办法规定的中小企业扶持政策的</w:t>
            </w:r>
            <w:r>
              <w:rPr>
                <w:rFonts w:hint="eastAsia" w:ascii="宋体" w:hAnsi="宋体" w:cs="微软雅黑"/>
                <w:bCs/>
                <w:sz w:val="21"/>
                <w:szCs w:val="21"/>
              </w:rPr>
              <w:t>，根据招标文件格式提供《中小企业声明函》。</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2）根据财政部、司法部《关于政府采购支持监狱企业发展有关问题》的通知（财库〔2014〕68号），监狱企业参加本项目投标时，应当提供由省级以上监狱管理局、戒毒管理局（新疆生产建设兵团）出具的属于监狱企业的证明文件。监狱企业视同</w:t>
            </w:r>
            <w:r>
              <w:rPr>
                <w:rFonts w:hint="eastAsia" w:ascii="宋体" w:hAnsi="宋体" w:cs="微软雅黑"/>
                <w:b/>
                <w:bCs/>
                <w:sz w:val="21"/>
                <w:szCs w:val="21"/>
              </w:rPr>
              <w:t>小型、微型企业</w:t>
            </w:r>
            <w:r>
              <w:rPr>
                <w:rFonts w:hint="eastAsia" w:ascii="宋体" w:hAnsi="宋体" w:cs="微软雅黑"/>
                <w:bCs/>
                <w:sz w:val="21"/>
                <w:szCs w:val="21"/>
              </w:rPr>
              <w:t>。</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（3）根据财政部、民政部、中国残疾人联合会《关于促进残疾人就业政府采购政策的通知》（财库〔2017〕141号），在政府采购活动中，残疾人福利性单位</w:t>
            </w:r>
            <w:r>
              <w:rPr>
                <w:rFonts w:hint="eastAsia" w:ascii="宋体" w:hAnsi="宋体" w:cs="微软雅黑"/>
                <w:b/>
                <w:bCs/>
                <w:sz w:val="21"/>
                <w:szCs w:val="21"/>
              </w:rPr>
              <w:t>视同小型、微型</w:t>
            </w:r>
            <w:r>
              <w:rPr>
                <w:rFonts w:hint="eastAsia" w:ascii="宋体" w:hAnsi="宋体" w:cs="微软雅黑"/>
                <w:bCs/>
                <w:sz w:val="21"/>
                <w:szCs w:val="21"/>
              </w:rPr>
              <w:t>企业，享受同等价格扣除，但同时属于残疾人福利性单位和小微企业的，不重复价格扣除。投标人属于残疾人福利性单位的，根据招标文件格式提供《残疾人福利性单位声明函》。</w:t>
            </w:r>
          </w:p>
          <w:p>
            <w:pPr>
              <w:pStyle w:val="12"/>
              <w:kinsoku w:val="0"/>
              <w:overflowPunct w:val="0"/>
              <w:autoSpaceDE w:val="0"/>
              <w:autoSpaceDN w:val="0"/>
              <w:spacing w:line="320" w:lineRule="exact"/>
              <w:rPr>
                <w:rFonts w:hAnsi="宋体"/>
              </w:rPr>
            </w:pPr>
          </w:p>
          <w:p>
            <w:pPr>
              <w:pStyle w:val="12"/>
              <w:kinsoku w:val="0"/>
              <w:overflowPunct w:val="0"/>
              <w:autoSpaceDE w:val="0"/>
              <w:autoSpaceDN w:val="0"/>
              <w:spacing w:line="320" w:lineRule="exact"/>
              <w:rPr>
                <w:rFonts w:hAnsi="宋体"/>
              </w:rPr>
            </w:pPr>
            <w:r>
              <w:rPr>
                <w:rFonts w:hint="eastAsia" w:hAnsi="宋体"/>
              </w:rPr>
              <w:t>具体执行规定：</w:t>
            </w:r>
          </w:p>
          <w:p>
            <w:pPr>
              <w:pStyle w:val="12"/>
              <w:kinsoku w:val="0"/>
              <w:overflowPunct w:val="0"/>
              <w:autoSpaceDE w:val="0"/>
              <w:autoSpaceDN w:val="0"/>
              <w:spacing w:line="320" w:lineRule="exact"/>
              <w:rPr>
                <w:rFonts w:hAnsi="宋体"/>
                <w:shd w:val="clear" w:color="auto" w:fill="FFFFFF"/>
              </w:rPr>
            </w:pPr>
            <w:r>
              <w:rPr>
                <w:rFonts w:hint="eastAsia" w:hAnsi="宋体"/>
                <w:shd w:val="clear" w:color="auto" w:fill="FFFFFF"/>
              </w:rPr>
              <w:t>（1）本项目对属于小型和微型企业的投标人的投标报价给予</w:t>
            </w:r>
            <w:r>
              <w:rPr>
                <w:rFonts w:hint="eastAsia" w:hAnsi="宋体"/>
                <w:color w:val="FF0000"/>
                <w:shd w:val="clear" w:color="auto" w:fill="FFFFFF"/>
              </w:rPr>
              <w:t>10%</w:t>
            </w:r>
            <w:r>
              <w:rPr>
                <w:rFonts w:hint="eastAsia" w:hAnsi="宋体"/>
                <w:shd w:val="clear" w:color="auto" w:fill="FFFFFF"/>
              </w:rPr>
              <w:t>的扣除，用扣除后的价格参与评审。</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（2）采购标的对应的中小企业划分标准所属行业为</w:t>
            </w:r>
            <w:r>
              <w:rPr>
                <w:rFonts w:hint="eastAsia" w:ascii="宋体" w:hAnsi="宋体" w:cs="微软雅黑"/>
                <w:b/>
                <w:color w:val="FF0000"/>
                <w:sz w:val="21"/>
                <w:szCs w:val="21"/>
                <w:u w:val="single"/>
              </w:rPr>
              <w:t>软件</w:t>
            </w:r>
            <w:r>
              <w:rPr>
                <w:rFonts w:ascii="宋体" w:hAnsi="宋体" w:cs="微软雅黑"/>
                <w:b/>
                <w:color w:val="FF0000"/>
                <w:sz w:val="21"/>
                <w:szCs w:val="21"/>
                <w:u w:val="single"/>
              </w:rPr>
              <w:t>和信息</w:t>
            </w:r>
            <w:r>
              <w:rPr>
                <w:rFonts w:hint="eastAsia" w:ascii="宋体" w:hAnsi="宋体" w:cs="微软雅黑"/>
                <w:b/>
                <w:color w:val="FF0000"/>
                <w:sz w:val="21"/>
                <w:szCs w:val="21"/>
                <w:u w:val="single"/>
              </w:rPr>
              <w:t>技术</w:t>
            </w:r>
            <w:r>
              <w:rPr>
                <w:rFonts w:ascii="宋体" w:hAnsi="宋体" w:cs="微软雅黑"/>
                <w:b/>
                <w:color w:val="FF0000"/>
                <w:sz w:val="21"/>
                <w:szCs w:val="21"/>
                <w:u w:val="single"/>
              </w:rPr>
              <w:t>服务业</w:t>
            </w:r>
            <w:r>
              <w:rPr>
                <w:rFonts w:hint="eastAsia" w:ascii="宋体" w:hAnsi="宋体" w:cs="微软雅黑"/>
                <w:bCs/>
                <w:sz w:val="21"/>
                <w:szCs w:val="21"/>
              </w:rPr>
              <w:t>。</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中小企业划分标准详见工业和信息化部、国家统计局、国家发展和改革委员会、财政部联合印发的《关于印发中小企业划型标准规定的通知》（工信部联企业〔2011〕300号）。</w:t>
            </w:r>
          </w:p>
          <w:p>
            <w:pPr>
              <w:pStyle w:val="12"/>
              <w:kinsoku w:val="0"/>
              <w:overflowPunct w:val="0"/>
              <w:autoSpaceDE w:val="0"/>
              <w:autoSpaceDN w:val="0"/>
              <w:spacing w:line="320" w:lineRule="exact"/>
              <w:rPr>
                <w:rFonts w:hAnsi="宋体" w:cs="微软雅黑"/>
                <w:b/>
                <w:bCs/>
              </w:rPr>
            </w:pPr>
            <w:r>
              <w:rPr>
                <w:rFonts w:hint="eastAsia" w:hAnsi="宋体" w:cs="微软雅黑"/>
                <w:b/>
                <w:bCs/>
              </w:rPr>
              <w:t>（3）请投标人根据上述相关文件通知要求认真理解并核对是否符合中小企业、监狱或残疾人福利性单位的扶持政策，并如实提供对应声明函或证明文件。投标人按照本办法规定提供声明函或证明文件不实的，属于提供虚假材料谋取中标、成交，依照《中华人民共和国政府采购法》等国家有关规定追究相应责任。</w:t>
            </w:r>
          </w:p>
          <w:p>
            <w:pPr>
              <w:pStyle w:val="12"/>
              <w:kinsoku w:val="0"/>
              <w:overflowPunct w:val="0"/>
              <w:autoSpaceDE w:val="0"/>
              <w:autoSpaceDN w:val="0"/>
              <w:spacing w:line="320" w:lineRule="exact"/>
              <w:rPr>
                <w:rFonts w:hAnsi="宋体"/>
              </w:rPr>
            </w:pPr>
            <w:r>
              <w:rPr>
                <w:rFonts w:hint="eastAsia" w:hAnsi="宋体"/>
                <w:shd w:val="clear" w:color="auto" w:fill="FFFFFF"/>
              </w:rPr>
              <w:t>（4）</w:t>
            </w:r>
            <w:r>
              <w:rPr>
                <w:rFonts w:hint="eastAsia" w:hAnsi="宋体"/>
              </w:rPr>
              <w:t>不符合上述扶持政策或适用情形的投标人无须提供上述声明函或证明文件。</w:t>
            </w:r>
          </w:p>
          <w:p>
            <w:pPr>
              <w:pStyle w:val="12"/>
              <w:kinsoku w:val="0"/>
              <w:overflowPunct w:val="0"/>
              <w:autoSpaceDE w:val="0"/>
              <w:autoSpaceDN w:val="0"/>
              <w:spacing w:line="320" w:lineRule="exact"/>
              <w:rPr>
                <w:rFonts w:hAnsi="宋体" w:cs="微软雅黑"/>
                <w:bCs/>
              </w:rPr>
            </w:pPr>
            <w:r>
              <w:rPr>
                <w:rFonts w:hint="eastAsia" w:hAnsi="宋体"/>
                <w:b/>
                <w:color w:val="FF0000"/>
              </w:rPr>
              <w:t>如投标人不符合上述政策，无须提供上述文件，可自行上传说明填无。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业绩</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企业能力</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服务</w:t>
            </w:r>
            <w:r>
              <w:rPr>
                <w:rFonts w:hAnsi="宋体"/>
                <w:kern w:val="0"/>
              </w:rPr>
              <w:t>响应情况</w:t>
            </w:r>
          </w:p>
        </w:tc>
        <w:tc>
          <w:tcPr>
            <w:tcW w:w="3223" w:type="dxa"/>
          </w:tcPr>
          <w:p>
            <w:pPr>
              <w:rPr>
                <w:rFonts w:ascii="宋体" w:hAnsi="宋体"/>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服务</w:t>
            </w:r>
            <w:r>
              <w:rPr>
                <w:rFonts w:hAnsi="宋体"/>
                <w:kern w:val="0"/>
              </w:rPr>
              <w:t>要求响应情况</w:t>
            </w:r>
          </w:p>
        </w:tc>
        <w:tc>
          <w:tcPr>
            <w:tcW w:w="3223" w:type="dxa"/>
          </w:tcPr>
          <w:p>
            <w:pPr>
              <w:rPr>
                <w:rFonts w:ascii="宋体" w:hAnsi="宋体"/>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项目</w:t>
            </w:r>
            <w:r>
              <w:rPr>
                <w:rFonts w:hAnsi="宋体"/>
                <w:kern w:val="0"/>
              </w:rPr>
              <w:t>需求分析</w:t>
            </w:r>
          </w:p>
        </w:tc>
        <w:tc>
          <w:tcPr>
            <w:tcW w:w="3223" w:type="dxa"/>
          </w:tcPr>
          <w:p>
            <w:pPr>
              <w:rPr>
                <w:rFonts w:ascii="宋体" w:hAnsi="宋体"/>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项目</w:t>
            </w:r>
            <w:r>
              <w:rPr>
                <w:rFonts w:hAnsi="宋体"/>
                <w:kern w:val="0"/>
              </w:rPr>
              <w:t>服务方案</w:t>
            </w:r>
          </w:p>
        </w:tc>
        <w:tc>
          <w:tcPr>
            <w:tcW w:w="3223" w:type="dxa"/>
          </w:tcPr>
          <w:p>
            <w:pPr>
              <w:rPr>
                <w:rFonts w:ascii="宋体" w:hAnsi="宋体"/>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项目</w:t>
            </w:r>
            <w:r>
              <w:rPr>
                <w:rFonts w:hAnsi="宋体"/>
                <w:kern w:val="0"/>
              </w:rPr>
              <w:t>维护方案</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项目</w:t>
            </w:r>
            <w:r>
              <w:rPr>
                <w:rFonts w:hAnsi="宋体"/>
                <w:kern w:val="0"/>
              </w:rPr>
              <w:t>应急预案</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项目</w:t>
            </w:r>
            <w:r>
              <w:rPr>
                <w:rFonts w:hAnsi="宋体"/>
                <w:kern w:val="0"/>
              </w:rPr>
              <w:t>团队</w:t>
            </w:r>
            <w:r>
              <w:rPr>
                <w:rFonts w:hint="eastAsia" w:hAnsi="宋体"/>
                <w:kern w:val="0"/>
              </w:rPr>
              <w:t>（一）</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项目</w:t>
            </w:r>
            <w:r>
              <w:rPr>
                <w:rFonts w:hAnsi="宋体"/>
                <w:kern w:val="0"/>
              </w:rPr>
              <w:t>团队</w:t>
            </w:r>
            <w:r>
              <w:rPr>
                <w:rFonts w:hint="eastAsia" w:hAnsi="宋体"/>
                <w:kern w:val="0"/>
              </w:rPr>
              <w:t>（二）</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0"/>
              </w:numPr>
              <w:kinsoku w:val="0"/>
              <w:overflowPunct w:val="0"/>
              <w:autoSpaceDE w:val="0"/>
              <w:autoSpaceDN w:val="0"/>
              <w:spacing w:line="320" w:lineRule="exact"/>
              <w:rPr>
                <w:rFonts w:hAnsi="宋体"/>
                <w:kern w:val="0"/>
              </w:rPr>
            </w:pPr>
            <w:r>
              <w:rPr>
                <w:rFonts w:hint="eastAsia" w:hAnsi="宋体"/>
                <w:kern w:val="0"/>
              </w:rPr>
              <w:t>*投标一览表</w:t>
            </w:r>
          </w:p>
        </w:tc>
        <w:tc>
          <w:tcPr>
            <w:tcW w:w="3223" w:type="dxa"/>
          </w:tcPr>
          <w:p>
            <w:pPr>
              <w:kinsoku w:val="0"/>
              <w:overflowPunct w:val="0"/>
              <w:autoSpaceDE w:val="0"/>
              <w:autoSpaceDN w:val="0"/>
              <w:snapToGrid w:val="0"/>
              <w:spacing w:line="320" w:lineRule="exact"/>
              <w:rPr>
                <w:rFonts w:ascii="宋体" w:hAnsi="宋体" w:cs="微软雅黑"/>
                <w:sz w:val="21"/>
                <w:szCs w:val="21"/>
              </w:rPr>
            </w:pPr>
            <w:r>
              <w:rPr>
                <w:rFonts w:hint="eastAsia" w:ascii="宋体" w:hAnsi="宋体" w:cs="微软雅黑"/>
                <w:bCs/>
                <w:sz w:val="21"/>
                <w:szCs w:val="21"/>
              </w:rPr>
              <w:t>按照电子投标制作工具</w:t>
            </w:r>
            <w:r>
              <w:rPr>
                <w:rFonts w:hint="eastAsia" w:ascii="宋体" w:hAnsi="宋体" w:cs="微软雅黑"/>
                <w:sz w:val="21"/>
                <w:szCs w:val="21"/>
              </w:rPr>
              <w:t>客户端填报生成，加盖投标人电子签章</w:t>
            </w:r>
            <w:r>
              <w:rPr>
                <w:rFonts w:hint="eastAsia" w:ascii="宋体" w:hAnsi="宋体" w:cs="微软雅黑"/>
                <w:bCs/>
                <w:sz w:val="21"/>
                <w:szCs w:val="21"/>
              </w:rPr>
              <w:t>(报价单位：元)</w:t>
            </w:r>
            <w:r>
              <w:rPr>
                <w:rFonts w:hint="eastAsia" w:ascii="宋体" w:hAnsi="宋体" w:cs="微软雅黑"/>
                <w:sz w:val="21"/>
                <w:szCs w:val="21"/>
              </w:rPr>
              <w:t>。</w:t>
            </w:r>
          </w:p>
          <w:p>
            <w:pPr>
              <w:kinsoku w:val="0"/>
              <w:overflowPunct w:val="0"/>
              <w:autoSpaceDE w:val="0"/>
              <w:autoSpaceDN w:val="0"/>
              <w:snapToGrid w:val="0"/>
              <w:spacing w:line="320" w:lineRule="exact"/>
              <w:rPr>
                <w:rFonts w:ascii="宋体" w:hAnsi="宋体" w:cs="微软雅黑"/>
                <w:bCs/>
                <w:sz w:val="21"/>
                <w:szCs w:val="21"/>
                <w:highlight w:val="yellow"/>
              </w:rPr>
            </w:pPr>
            <w:r>
              <w:rPr>
                <w:rFonts w:hint="eastAsia" w:ascii="宋体" w:hAnsi="宋体" w:cs="微软雅黑"/>
                <w:b/>
                <w:color w:val="FF0000"/>
                <w:sz w:val="21"/>
                <w:szCs w:val="21"/>
              </w:rPr>
              <w:t>投标一览表在客户端填报生成后，与制作生成的电子投标文件一同加密上传，无须在电子投标文件中额外提供。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pacing w:line="320" w:lineRule="exact"/>
              <w:jc w:val="center"/>
              <w:rPr>
                <w:rFonts w:ascii="宋体" w:hAnsi="宋体" w:cs="微软雅黑"/>
                <w:bCs/>
                <w:sz w:val="21"/>
                <w:szCs w:val="21"/>
              </w:rPr>
            </w:pPr>
            <w:r>
              <w:rPr>
                <w:rFonts w:hint="eastAsia" w:ascii="宋体" w:hAnsi="宋体" w:cs="微软雅黑"/>
                <w:bCs/>
                <w:sz w:val="21"/>
                <w:szCs w:val="21"/>
              </w:rPr>
              <w:t>投标保证金</w:t>
            </w:r>
          </w:p>
        </w:tc>
        <w:tc>
          <w:tcPr>
            <w:tcW w:w="2979" w:type="dxa"/>
            <w:vAlign w:val="center"/>
          </w:tcPr>
          <w:p>
            <w:pPr>
              <w:pStyle w:val="24"/>
              <w:keepNext w:val="0"/>
              <w:keepLines w:val="0"/>
              <w:numPr>
                <w:ilvl w:val="0"/>
                <w:numId w:val="0"/>
              </w:numPr>
              <w:kinsoku w:val="0"/>
              <w:overflowPunct w:val="0"/>
              <w:autoSpaceDE w:val="0"/>
              <w:autoSpaceDN w:val="0"/>
              <w:spacing w:before="0" w:after="0" w:line="320" w:lineRule="exact"/>
              <w:rPr>
                <w:rFonts w:cs="微软雅黑"/>
                <w:bCs/>
                <w:color w:val="auto"/>
                <w:szCs w:val="21"/>
              </w:rPr>
            </w:pPr>
            <w:r>
              <w:rPr>
                <w:rFonts w:hint="eastAsia" w:cs="微软雅黑"/>
                <w:bCs/>
                <w:color w:val="auto"/>
                <w:szCs w:val="21"/>
              </w:rPr>
              <w:t>本项目不收取投标保证金。</w:t>
            </w:r>
          </w:p>
        </w:tc>
        <w:tc>
          <w:tcPr>
            <w:tcW w:w="3223" w:type="dxa"/>
          </w:tcPr>
          <w:p>
            <w:pPr>
              <w:pStyle w:val="24"/>
              <w:keepNext w:val="0"/>
              <w:keepLines w:val="0"/>
              <w:numPr>
                <w:ilvl w:val="0"/>
                <w:numId w:val="0"/>
              </w:numPr>
              <w:kinsoku w:val="0"/>
              <w:overflowPunct w:val="0"/>
              <w:autoSpaceDE w:val="0"/>
              <w:autoSpaceDN w:val="0"/>
              <w:spacing w:before="0" w:after="0" w:line="320" w:lineRule="exact"/>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pacing w:line="320" w:lineRule="exact"/>
              <w:jc w:val="center"/>
              <w:rPr>
                <w:rFonts w:ascii="宋体" w:hAnsi="宋体" w:cs="微软雅黑"/>
                <w:bCs/>
                <w:sz w:val="21"/>
                <w:szCs w:val="21"/>
              </w:rPr>
            </w:pPr>
            <w:r>
              <w:rPr>
                <w:rFonts w:hint="eastAsia" w:ascii="宋体" w:hAnsi="宋体" w:cs="微软雅黑"/>
                <w:bCs/>
                <w:sz w:val="21"/>
                <w:szCs w:val="21"/>
              </w:rPr>
              <w:t>是否允许进口产品投标</w:t>
            </w:r>
          </w:p>
        </w:tc>
        <w:tc>
          <w:tcPr>
            <w:tcW w:w="2979" w:type="dxa"/>
            <w:vAlign w:val="center"/>
          </w:tcPr>
          <w:p>
            <w:pPr>
              <w:pStyle w:val="24"/>
              <w:keepNext w:val="0"/>
              <w:keepLines w:val="0"/>
              <w:numPr>
                <w:ilvl w:val="0"/>
                <w:numId w:val="0"/>
              </w:numPr>
              <w:kinsoku w:val="0"/>
              <w:overflowPunct w:val="0"/>
              <w:autoSpaceDE w:val="0"/>
              <w:autoSpaceDN w:val="0"/>
              <w:spacing w:before="0" w:after="0" w:line="320" w:lineRule="exact"/>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pacing w:before="0" w:after="0" w:line="320" w:lineRule="exact"/>
              <w:rPr>
                <w:rFonts w:cs="微软雅黑"/>
                <w:bCs/>
                <w:color w:val="auto"/>
                <w:szCs w:val="21"/>
              </w:rPr>
            </w:pPr>
            <w:r>
              <w:rPr>
                <w:rFonts w:hint="eastAsia" w:cs="微软雅黑"/>
                <w:bCs/>
                <w:color w:val="auto"/>
                <w:szCs w:val="21"/>
              </w:rPr>
              <w:t>依据北京市财政局关于采购进口产品的有关规定，采购人采购进口产品须履行相关程序，本项采购未履行相关程序，故投标人所投货物仅限产自中国境内的产品。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是否接受可选择或可调整的投标方案和报价</w:t>
            </w:r>
          </w:p>
        </w:tc>
        <w:tc>
          <w:tcPr>
            <w:tcW w:w="2979" w:type="dxa"/>
            <w:vAlign w:val="center"/>
          </w:tcPr>
          <w:p>
            <w:pPr>
              <w:pStyle w:val="27"/>
              <w:kinsoku w:val="0"/>
              <w:overflowPunct w:val="0"/>
              <w:autoSpaceDE w:val="0"/>
              <w:autoSpaceDN w:val="0"/>
              <w:adjustRightInd w:val="0"/>
              <w:snapToGrid w:val="0"/>
              <w:spacing w:line="320" w:lineRule="exact"/>
              <w:rPr>
                <w:rFonts w:hAnsi="宋体" w:cs="微软雅黑"/>
                <w:bCs/>
              </w:rPr>
            </w:pPr>
            <w:r>
              <w:rPr>
                <w:rFonts w:hint="eastAsia" w:hAnsi="宋体" w:cs="微软雅黑"/>
                <w:bCs/>
                <w:kern w:val="0"/>
              </w:rPr>
              <w:t>否</w:t>
            </w:r>
          </w:p>
        </w:tc>
        <w:tc>
          <w:tcPr>
            <w:tcW w:w="3223" w:type="dxa"/>
          </w:tcPr>
          <w:p>
            <w:pPr>
              <w:pStyle w:val="27"/>
              <w:kinsoku w:val="0"/>
              <w:overflowPunct w:val="0"/>
              <w:autoSpaceDE w:val="0"/>
              <w:autoSpaceDN w:val="0"/>
              <w:adjustRightInd w:val="0"/>
              <w:snapToGrid w:val="0"/>
              <w:spacing w:line="320" w:lineRule="exact"/>
              <w:rPr>
                <w:rFonts w:hAnsi="宋体" w:cs="微软雅黑"/>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是否允许转包</w:t>
            </w:r>
          </w:p>
        </w:tc>
        <w:tc>
          <w:tcPr>
            <w:tcW w:w="2979" w:type="dxa"/>
            <w:vAlign w:val="center"/>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是否允许分包</w:t>
            </w:r>
          </w:p>
        </w:tc>
        <w:tc>
          <w:tcPr>
            <w:tcW w:w="2979" w:type="dxa"/>
            <w:vAlign w:val="center"/>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是否允许联合体投标</w:t>
            </w:r>
          </w:p>
        </w:tc>
        <w:tc>
          <w:tcPr>
            <w:tcW w:w="2979" w:type="dxa"/>
            <w:vAlign w:val="center"/>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是否专门面向中小企业采购</w:t>
            </w:r>
          </w:p>
        </w:tc>
        <w:tc>
          <w:tcPr>
            <w:tcW w:w="2979"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是否专门面向小微企业采购</w:t>
            </w:r>
          </w:p>
        </w:tc>
        <w:tc>
          <w:tcPr>
            <w:tcW w:w="2979"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投标文件有效期</w:t>
            </w:r>
          </w:p>
        </w:tc>
        <w:tc>
          <w:tcPr>
            <w:tcW w:w="2979" w:type="dxa"/>
            <w:vAlign w:val="center"/>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180个日历日（从开标日起计算）</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bl>
    <w:p>
      <w:pPr>
        <w:snapToGrid w:val="0"/>
        <w:spacing w:line="400" w:lineRule="exact"/>
        <w:jc w:val="both"/>
        <w:rPr>
          <w:rFonts w:ascii="宋体" w:hAnsi="宋体" w:cs="微软雅黑"/>
          <w:sz w:val="21"/>
          <w:szCs w:val="21"/>
        </w:rPr>
      </w:pPr>
    </w:p>
    <w:p>
      <w:pPr>
        <w:snapToGrid w:val="0"/>
        <w:spacing w:line="400" w:lineRule="exact"/>
        <w:jc w:val="both"/>
        <w:rPr>
          <w:rFonts w:ascii="宋体" w:hAnsi="宋体" w:cs="微软雅黑"/>
          <w:sz w:val="21"/>
          <w:szCs w:val="21"/>
        </w:rPr>
      </w:pPr>
    </w:p>
    <w:p>
      <w:pPr>
        <w:pStyle w:val="29"/>
        <w:numPr>
          <w:ilvl w:val="0"/>
          <w:numId w:val="0"/>
        </w:numPr>
        <w:snapToGrid w:val="0"/>
        <w:spacing w:before="0" w:after="0"/>
        <w:rPr>
          <w:rFonts w:cs="微软雅黑"/>
          <w:sz w:val="21"/>
          <w:szCs w:val="21"/>
        </w:rPr>
      </w:pPr>
      <w:r>
        <w:rPr>
          <w:rFonts w:hint="eastAsia" w:cs="微软雅黑"/>
          <w:sz w:val="21"/>
          <w:szCs w:val="21"/>
        </w:rPr>
        <w:t>第二包  政务云租用</w:t>
      </w:r>
    </w:p>
    <w:tbl>
      <w:tblPr>
        <w:tblStyle w:val="1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411"/>
        <w:gridCol w:w="2979"/>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insoku w:val="0"/>
              <w:overflowPunct w:val="0"/>
              <w:autoSpaceDE w:val="0"/>
              <w:autoSpaceDN w:val="0"/>
              <w:snapToGrid w:val="0"/>
              <w:spacing w:line="320" w:lineRule="exact"/>
              <w:jc w:val="center"/>
              <w:textAlignment w:val="auto"/>
              <w:rPr>
                <w:rFonts w:ascii="宋体" w:hAnsi="宋体" w:cs="微软雅黑"/>
                <w:b/>
                <w:bCs/>
                <w:sz w:val="21"/>
                <w:szCs w:val="21"/>
              </w:rPr>
            </w:pPr>
            <w:r>
              <w:rPr>
                <w:rFonts w:hint="eastAsia" w:ascii="宋体" w:hAnsi="宋体" w:cs="微软雅黑"/>
                <w:b/>
                <w:bCs/>
                <w:sz w:val="21"/>
                <w:szCs w:val="21"/>
              </w:rPr>
              <w:t>序号</w:t>
            </w:r>
          </w:p>
        </w:tc>
        <w:tc>
          <w:tcPr>
            <w:tcW w:w="2411" w:type="dxa"/>
            <w:vAlign w:val="center"/>
          </w:tcPr>
          <w:p>
            <w:pPr>
              <w:kinsoku w:val="0"/>
              <w:overflowPunct w:val="0"/>
              <w:autoSpaceDE w:val="0"/>
              <w:autoSpaceDN w:val="0"/>
              <w:snapToGrid w:val="0"/>
              <w:spacing w:line="320" w:lineRule="exact"/>
              <w:jc w:val="center"/>
              <w:textAlignment w:val="auto"/>
              <w:rPr>
                <w:rFonts w:ascii="宋体" w:hAnsi="宋体" w:cs="微软雅黑"/>
                <w:b/>
                <w:bCs/>
                <w:sz w:val="21"/>
                <w:szCs w:val="21"/>
              </w:rPr>
            </w:pPr>
            <w:r>
              <w:rPr>
                <w:rFonts w:hint="eastAsia" w:ascii="宋体" w:hAnsi="宋体" w:cs="微软雅黑"/>
                <w:b/>
                <w:bCs/>
                <w:sz w:val="21"/>
                <w:szCs w:val="21"/>
              </w:rPr>
              <w:t>项  目</w:t>
            </w:r>
          </w:p>
        </w:tc>
        <w:tc>
          <w:tcPr>
            <w:tcW w:w="2979" w:type="dxa"/>
            <w:vAlign w:val="center"/>
          </w:tcPr>
          <w:p>
            <w:pPr>
              <w:pStyle w:val="12"/>
              <w:kinsoku w:val="0"/>
              <w:overflowPunct w:val="0"/>
              <w:autoSpaceDE w:val="0"/>
              <w:autoSpaceDN w:val="0"/>
              <w:adjustRightInd w:val="0"/>
              <w:snapToGrid w:val="0"/>
              <w:spacing w:line="320" w:lineRule="exact"/>
              <w:jc w:val="center"/>
              <w:rPr>
                <w:rFonts w:hAnsi="宋体" w:cs="微软雅黑"/>
                <w:b/>
                <w:bCs/>
              </w:rPr>
            </w:pPr>
            <w:r>
              <w:rPr>
                <w:rFonts w:hint="eastAsia" w:hAnsi="宋体" w:cs="微软雅黑"/>
                <w:b/>
                <w:bCs/>
              </w:rPr>
              <w:t>内  容</w:t>
            </w:r>
          </w:p>
        </w:tc>
        <w:tc>
          <w:tcPr>
            <w:tcW w:w="3223" w:type="dxa"/>
            <w:vAlign w:val="center"/>
          </w:tcPr>
          <w:p>
            <w:pPr>
              <w:pStyle w:val="12"/>
              <w:kinsoku w:val="0"/>
              <w:overflowPunct w:val="0"/>
              <w:autoSpaceDE w:val="0"/>
              <w:autoSpaceDN w:val="0"/>
              <w:adjustRightInd w:val="0"/>
              <w:snapToGrid w:val="0"/>
              <w:spacing w:line="320" w:lineRule="exact"/>
              <w:jc w:val="center"/>
              <w:rPr>
                <w:rFonts w:hAnsi="宋体" w:cs="微软雅黑"/>
                <w:b/>
                <w:bCs/>
                <w:kern w:val="0"/>
              </w:rPr>
            </w:pPr>
            <w:r>
              <w:rPr>
                <w:rFonts w:hint="eastAsia" w:hAnsi="宋体" w:cs="微软雅黑"/>
                <w:b/>
                <w:bCs/>
                <w:kern w:val="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jc w:val="center"/>
              <w:rPr>
                <w:rFonts w:ascii="宋体" w:hAnsi="宋体"/>
                <w:sz w:val="21"/>
                <w:szCs w:val="21"/>
              </w:rPr>
            </w:pPr>
            <w:r>
              <w:rPr>
                <w:rFonts w:hint="eastAsia" w:ascii="宋体" w:hAnsi="宋体" w:cs="微软雅黑"/>
                <w:sz w:val="21"/>
                <w:szCs w:val="21"/>
              </w:rPr>
              <w:t>电子投标文件</w:t>
            </w:r>
          </w:p>
        </w:tc>
        <w:tc>
          <w:tcPr>
            <w:tcW w:w="2979" w:type="dxa"/>
            <w:vAlign w:val="center"/>
          </w:tcPr>
          <w:p>
            <w:pPr>
              <w:pStyle w:val="12"/>
              <w:kinsoku w:val="0"/>
              <w:overflowPunct w:val="0"/>
              <w:autoSpaceDE w:val="0"/>
              <w:autoSpaceDN w:val="0"/>
              <w:spacing w:line="320" w:lineRule="exact"/>
              <w:rPr>
                <w:rFonts w:hAnsi="宋体"/>
              </w:rPr>
            </w:pPr>
            <w:r>
              <w:rPr>
                <w:rFonts w:hint="eastAsia" w:hAnsi="宋体"/>
                <w:kern w:val="0"/>
              </w:rPr>
              <w:t>提交电子投标文件：</w:t>
            </w:r>
          </w:p>
          <w:p>
            <w:pPr>
              <w:pStyle w:val="12"/>
              <w:kinsoku w:val="0"/>
              <w:overflowPunct w:val="0"/>
              <w:autoSpaceDE w:val="0"/>
              <w:autoSpaceDN w:val="0"/>
              <w:spacing w:line="320" w:lineRule="exact"/>
              <w:rPr>
                <w:rFonts w:hAnsi="宋体"/>
              </w:rPr>
            </w:pPr>
            <w:r>
              <w:rPr>
                <w:rFonts w:hint="eastAsia" w:hAnsi="宋体"/>
                <w:kern w:val="0"/>
              </w:rPr>
              <w:t>1、资格证明文件</w:t>
            </w:r>
          </w:p>
          <w:p>
            <w:pPr>
              <w:pStyle w:val="12"/>
              <w:kinsoku w:val="0"/>
              <w:overflowPunct w:val="0"/>
              <w:autoSpaceDE w:val="0"/>
              <w:autoSpaceDN w:val="0"/>
              <w:spacing w:line="320" w:lineRule="exact"/>
              <w:rPr>
                <w:rFonts w:hAnsi="宋体"/>
              </w:rPr>
            </w:pPr>
            <w:r>
              <w:rPr>
                <w:rFonts w:hint="eastAsia" w:hAnsi="宋体"/>
                <w:kern w:val="0"/>
              </w:rPr>
              <w:t>2、技术文件</w:t>
            </w:r>
          </w:p>
        </w:tc>
        <w:tc>
          <w:tcPr>
            <w:tcW w:w="3223" w:type="dxa"/>
            <w:vAlign w:val="center"/>
          </w:tcPr>
          <w:p>
            <w:pPr>
              <w:pStyle w:val="12"/>
              <w:kinsoku w:val="0"/>
              <w:overflowPunct w:val="0"/>
              <w:autoSpaceDE w:val="0"/>
              <w:autoSpaceDN w:val="0"/>
              <w:spacing w:line="320" w:lineRule="exact"/>
              <w:rPr>
                <w:rFonts w:hAnsi="宋体"/>
              </w:rPr>
            </w:pPr>
            <w:r>
              <w:rPr>
                <w:rFonts w:hint="eastAsia" w:hAnsi="宋体"/>
                <w:kern w:val="0"/>
              </w:rPr>
              <w:t>未提交电子投标文件的，作无效投标处理。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restart"/>
            <w:vAlign w:val="center"/>
          </w:tcPr>
          <w:p>
            <w:pPr>
              <w:jc w:val="center"/>
              <w:rPr>
                <w:rFonts w:ascii="宋体" w:hAnsi="宋体" w:cs="微软雅黑"/>
                <w:bCs/>
                <w:sz w:val="21"/>
                <w:szCs w:val="21"/>
              </w:rPr>
            </w:pPr>
            <w:r>
              <w:rPr>
                <w:rFonts w:hint="eastAsia" w:ascii="宋体" w:hAnsi="宋体" w:cs="微软雅黑"/>
                <w:bCs/>
                <w:sz w:val="21"/>
                <w:szCs w:val="21"/>
              </w:rPr>
              <w:t>投标人应提交的资格证明文件</w:t>
            </w:r>
          </w:p>
        </w:tc>
        <w:tc>
          <w:tcPr>
            <w:tcW w:w="2979" w:type="dxa"/>
            <w:vAlign w:val="center"/>
          </w:tcPr>
          <w:p>
            <w:pPr>
              <w:pStyle w:val="12"/>
              <w:numPr>
                <w:ilvl w:val="0"/>
                <w:numId w:val="13"/>
              </w:numPr>
              <w:kinsoku w:val="0"/>
              <w:overflowPunct w:val="0"/>
              <w:autoSpaceDE w:val="0"/>
              <w:autoSpaceDN w:val="0"/>
              <w:spacing w:line="320" w:lineRule="exact"/>
              <w:rPr>
                <w:rFonts w:hAnsi="宋体" w:cs="微软雅黑"/>
                <w:bCs/>
                <w:kern w:val="0"/>
              </w:rPr>
            </w:pPr>
            <w:r>
              <w:rPr>
                <w:rFonts w:hint="eastAsia" w:hAnsi="宋体"/>
                <w:kern w:val="0"/>
              </w:rPr>
              <w:t>*</w:t>
            </w:r>
            <w:r>
              <w:rPr>
                <w:rFonts w:hint="eastAsia" w:hAnsi="宋体"/>
              </w:rPr>
              <w:t>法人、其他组织或者自然人的证明文件</w:t>
            </w:r>
          </w:p>
        </w:tc>
        <w:tc>
          <w:tcPr>
            <w:tcW w:w="3223" w:type="dxa"/>
          </w:tcPr>
          <w:p>
            <w:pPr>
              <w:pStyle w:val="12"/>
              <w:kinsoku w:val="0"/>
              <w:overflowPunct w:val="0"/>
              <w:autoSpaceDE w:val="0"/>
              <w:autoSpaceDN w:val="0"/>
              <w:spacing w:line="320" w:lineRule="exact"/>
              <w:rPr>
                <w:rFonts w:hAnsi="宋体"/>
              </w:rPr>
            </w:pPr>
            <w:r>
              <w:rPr>
                <w:rFonts w:hint="eastAsia" w:hAnsi="宋体"/>
              </w:rPr>
              <w:t>根据投标人实际主体身份，提供投标人自身的包括但不限于</w:t>
            </w:r>
            <w:r>
              <w:rPr>
                <w:rFonts w:hint="eastAsia" w:hAnsi="宋体"/>
                <w:b/>
                <w:color w:val="FF0000"/>
                <w:kern w:val="0"/>
              </w:rPr>
              <w:t>营业执照或事业单位法人证书等</w:t>
            </w:r>
            <w:r>
              <w:rPr>
                <w:rFonts w:hint="eastAsia" w:hAnsi="宋体"/>
              </w:rPr>
              <w:t>复印件。</w:t>
            </w:r>
          </w:p>
          <w:p>
            <w:pPr>
              <w:pStyle w:val="12"/>
              <w:kinsoku w:val="0"/>
              <w:overflowPunct w:val="0"/>
              <w:autoSpaceDE w:val="0"/>
              <w:autoSpaceDN w:val="0"/>
              <w:spacing w:line="320" w:lineRule="exact"/>
              <w:rPr>
                <w:rFonts w:hAnsi="宋体"/>
              </w:rPr>
            </w:pPr>
            <w:r>
              <w:rPr>
                <w:rFonts w:hint="eastAsia" w:hAnsi="宋体"/>
              </w:rPr>
              <w:t>（特别说明：</w:t>
            </w:r>
          </w:p>
          <w:p>
            <w:pPr>
              <w:pStyle w:val="12"/>
              <w:kinsoku w:val="0"/>
              <w:overflowPunct w:val="0"/>
              <w:autoSpaceDE w:val="0"/>
              <w:autoSpaceDN w:val="0"/>
              <w:spacing w:line="320" w:lineRule="exact"/>
              <w:rPr>
                <w:rFonts w:hAnsi="宋体"/>
              </w:rPr>
            </w:pPr>
            <w:r>
              <w:rPr>
                <w:rFonts w:hint="eastAsia" w:hAnsi="宋体"/>
                <w:kern w:val="0"/>
              </w:rPr>
              <w:t>*如投标人为</w:t>
            </w:r>
            <w:r>
              <w:rPr>
                <w:rFonts w:hint="eastAsia" w:hAnsi="宋体" w:cs="微软雅黑"/>
              </w:rPr>
              <w:t>分支机构的，除提供上述</w:t>
            </w:r>
            <w:r>
              <w:rPr>
                <w:rFonts w:hint="eastAsia" w:hAnsi="宋体"/>
              </w:rPr>
              <w:t>投标人自身的</w:t>
            </w:r>
            <w:r>
              <w:rPr>
                <w:rFonts w:hint="eastAsia" w:hAnsi="宋体"/>
                <w:kern w:val="0"/>
              </w:rPr>
              <w:t>营业执照等</w:t>
            </w:r>
            <w:r>
              <w:rPr>
                <w:rFonts w:hint="eastAsia" w:hAnsi="宋体"/>
              </w:rPr>
              <w:t>复印件外，</w:t>
            </w:r>
            <w:r>
              <w:rPr>
                <w:rFonts w:hint="eastAsia" w:hAnsi="宋体" w:cs="微软雅黑"/>
              </w:rPr>
              <w:t>还须同时提供设立该投标人的上级单位（指总公司等）对投标人的授权委托书，</w:t>
            </w:r>
            <w:r>
              <w:rPr>
                <w:rFonts w:hint="eastAsia" w:hAnsi="宋体"/>
              </w:rPr>
              <w:t>根据招标文件提供格式填写。</w:t>
            </w:r>
          </w:p>
          <w:p>
            <w:pPr>
              <w:pStyle w:val="12"/>
              <w:kinsoku w:val="0"/>
              <w:overflowPunct w:val="0"/>
              <w:autoSpaceDE w:val="0"/>
              <w:autoSpaceDN w:val="0"/>
              <w:spacing w:line="320" w:lineRule="exact"/>
              <w:rPr>
                <w:rFonts w:hAnsi="宋体" w:cs="微软雅黑"/>
                <w:bCs/>
                <w:kern w:val="0"/>
              </w:rPr>
            </w:pPr>
            <w:r>
              <w:rPr>
                <w:rFonts w:hint="eastAsia" w:hAnsi="宋体"/>
              </w:rPr>
              <w:t>投标人不属于分支机构的，无须提供本授权委托书。）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cs="微软雅黑"/>
                <w:bCs/>
                <w:kern w:val="0"/>
              </w:rPr>
            </w:pPr>
            <w:r>
              <w:rPr>
                <w:rFonts w:hint="eastAsia" w:hAnsi="宋体"/>
                <w:kern w:val="0"/>
              </w:rPr>
              <w:t>*</w:t>
            </w:r>
            <w:r>
              <w:rPr>
                <w:rFonts w:hint="eastAsia" w:cs="微软雅黑"/>
              </w:rPr>
              <w:t>投标人授权委托书或投标人</w:t>
            </w:r>
            <w:r>
              <w:rPr>
                <w:rFonts w:hint="eastAsia"/>
              </w:rPr>
              <w:t>法定代表人声明</w:t>
            </w:r>
          </w:p>
        </w:tc>
        <w:tc>
          <w:tcPr>
            <w:tcW w:w="3223" w:type="dxa"/>
          </w:tcPr>
          <w:p>
            <w:pPr>
              <w:pStyle w:val="12"/>
              <w:kinsoku w:val="0"/>
              <w:overflowPunct w:val="0"/>
              <w:autoSpaceDE w:val="0"/>
              <w:autoSpaceDN w:val="0"/>
              <w:spacing w:line="320" w:lineRule="exact"/>
              <w:rPr>
                <w:rFonts w:hAnsi="宋体"/>
                <w:kern w:val="0"/>
              </w:rPr>
            </w:pPr>
            <w:r>
              <w:rPr>
                <w:rFonts w:hint="eastAsia" w:hAnsi="宋体"/>
                <w:kern w:val="0"/>
              </w:rPr>
              <w:t>参考招标文件格式提供。根据投标人参与项目实际情况提供下列文件之一即可。</w:t>
            </w:r>
            <w:r>
              <w:rPr>
                <w:rFonts w:hint="eastAsia" w:hAnsi="宋体"/>
                <w:b/>
                <w:color w:val="FF0000"/>
                <w:kern w:val="0"/>
              </w:rPr>
              <w:t>（提示：法定代表人栏目须手写签字或加盖名章后制作为PDF后并加盖电子签章）</w:t>
            </w:r>
            <w:r>
              <w:rPr>
                <w:rFonts w:hint="eastAsia" w:hAnsi="宋体"/>
                <w:kern w:val="0"/>
              </w:rPr>
              <w:t>。</w:t>
            </w:r>
          </w:p>
          <w:p>
            <w:pPr>
              <w:pStyle w:val="12"/>
              <w:kinsoku w:val="0"/>
              <w:overflowPunct w:val="0"/>
              <w:autoSpaceDE w:val="0"/>
              <w:autoSpaceDN w:val="0"/>
              <w:spacing w:line="320" w:lineRule="exact"/>
              <w:rPr>
                <w:rFonts w:hAnsi="宋体"/>
                <w:kern w:val="0"/>
              </w:rPr>
            </w:pPr>
            <w:r>
              <w:rPr>
                <w:rFonts w:hint="eastAsia" w:hAnsi="宋体" w:cs="微软雅黑"/>
                <w:bCs/>
              </w:rPr>
              <w:t>（1）</w:t>
            </w:r>
            <w:r>
              <w:rPr>
                <w:rFonts w:hint="eastAsia"/>
              </w:rPr>
              <w:t>非法定代表人提交投标文件时,须提供投标人授权委托书</w:t>
            </w:r>
            <w:r>
              <w:rPr>
                <w:rFonts w:hint="eastAsia" w:hAnsi="宋体"/>
                <w:kern w:val="0"/>
              </w:rPr>
              <w:t>。</w:t>
            </w:r>
          </w:p>
          <w:p>
            <w:pPr>
              <w:pStyle w:val="12"/>
              <w:kinsoku w:val="0"/>
              <w:overflowPunct w:val="0"/>
              <w:autoSpaceDE w:val="0"/>
              <w:autoSpaceDN w:val="0"/>
              <w:spacing w:line="320" w:lineRule="exact"/>
              <w:rPr>
                <w:rFonts w:hAnsi="宋体"/>
                <w:kern w:val="0"/>
              </w:rPr>
            </w:pPr>
            <w:r>
              <w:rPr>
                <w:rFonts w:hint="eastAsia" w:hAnsi="宋体" w:cs="微软雅黑"/>
                <w:bCs/>
              </w:rPr>
              <w:t>（2）</w:t>
            </w:r>
            <w:r>
              <w:rPr>
                <w:rFonts w:hint="eastAsia" w:hAnsi="宋体"/>
                <w:kern w:val="0"/>
              </w:rPr>
              <w:t>法定代表人提交投标文件时，须提供投标人法定代表人声明。</w:t>
            </w:r>
          </w:p>
          <w:p>
            <w:pPr>
              <w:pStyle w:val="12"/>
              <w:kinsoku w:val="0"/>
              <w:overflowPunct w:val="0"/>
              <w:autoSpaceDE w:val="0"/>
              <w:autoSpaceDN w:val="0"/>
              <w:spacing w:line="320" w:lineRule="exact"/>
              <w:rPr>
                <w:rFonts w:hAnsi="宋体"/>
                <w:kern w:val="0"/>
              </w:rPr>
            </w:pPr>
            <w:r>
              <w:rPr>
                <w:rFonts w:hint="eastAsia" w:hAnsi="宋体"/>
              </w:rPr>
              <w:t>（特别</w:t>
            </w:r>
            <w:r>
              <w:rPr>
                <w:rFonts w:hint="eastAsia" w:hAnsi="宋体"/>
                <w:kern w:val="0"/>
              </w:rPr>
              <w:t>说明：</w:t>
            </w:r>
          </w:p>
          <w:p>
            <w:pPr>
              <w:pStyle w:val="12"/>
              <w:kinsoku w:val="0"/>
              <w:overflowPunct w:val="0"/>
              <w:autoSpaceDE w:val="0"/>
              <w:autoSpaceDN w:val="0"/>
              <w:spacing w:line="320" w:lineRule="exact"/>
              <w:rPr>
                <w:rFonts w:hAnsi="宋体" w:cs="微软雅黑"/>
                <w:bCs/>
                <w:kern w:val="0"/>
              </w:rPr>
            </w:pPr>
            <w:r>
              <w:rPr>
                <w:rFonts w:hint="eastAsia" w:hAnsi="宋体"/>
                <w:kern w:val="0"/>
              </w:rPr>
              <w:t>如投标人为</w:t>
            </w:r>
            <w:r>
              <w:rPr>
                <w:rFonts w:hint="eastAsia" w:hAnsi="宋体" w:cs="微软雅黑"/>
              </w:rPr>
              <w:t>非法人单位的，此处法定代表人指其相关证明文件中该单位的负责人、投资人、合伙人、经营者等。</w:t>
            </w:r>
            <w:r>
              <w:rPr>
                <w:rFonts w:hint="eastAsia"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rPr>
            </w:pPr>
            <w:r>
              <w:rPr>
                <w:rFonts w:hint="eastAsia" w:hAnsi="宋体"/>
                <w:kern w:val="0"/>
              </w:rPr>
              <w:t>*资格条件承诺书</w:t>
            </w:r>
          </w:p>
        </w:tc>
        <w:tc>
          <w:tcPr>
            <w:tcW w:w="3223" w:type="dxa"/>
          </w:tcPr>
          <w:p>
            <w:pPr>
              <w:kinsoku w:val="0"/>
              <w:overflowPunct w:val="0"/>
              <w:autoSpaceDE w:val="0"/>
              <w:autoSpaceDN w:val="0"/>
              <w:snapToGrid w:val="0"/>
              <w:spacing w:line="320" w:lineRule="exact"/>
              <w:rPr>
                <w:rFonts w:ascii="宋体" w:hAnsi="宋体"/>
                <w:sz w:val="21"/>
                <w:szCs w:val="21"/>
              </w:rPr>
            </w:pPr>
            <w:r>
              <w:rPr>
                <w:rFonts w:hint="eastAsia" w:ascii="宋体" w:hAnsi="宋体"/>
                <w:sz w:val="21"/>
                <w:szCs w:val="21"/>
              </w:rPr>
              <w:t>根据招标文件提供格式填写，加盖投标人电子签章。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信用记录情况</w:t>
            </w:r>
          </w:p>
        </w:tc>
        <w:tc>
          <w:tcPr>
            <w:tcW w:w="3223" w:type="dxa"/>
          </w:tcPr>
          <w:p>
            <w:pPr>
              <w:kinsoku w:val="0"/>
              <w:overflowPunct w:val="0"/>
              <w:autoSpaceDE w:val="0"/>
              <w:autoSpaceDN w:val="0"/>
              <w:snapToGrid w:val="0"/>
              <w:spacing w:line="320" w:lineRule="exact"/>
              <w:rPr>
                <w:rFonts w:ascii="宋体" w:hAnsi="宋体"/>
                <w:sz w:val="21"/>
                <w:szCs w:val="21"/>
              </w:rPr>
            </w:pPr>
            <w:r>
              <w:rPr>
                <w:rFonts w:hint="eastAsia" w:ascii="宋体" w:hAnsi="宋体"/>
                <w:sz w:val="21"/>
                <w:szCs w:val="21"/>
              </w:rPr>
              <w:t>本条为资格性审查事项之一，无须投标人在电子投标文件中提供。</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采购人</w:t>
            </w:r>
            <w:r>
              <w:rPr>
                <w:rFonts w:hint="eastAsia" w:ascii="宋体" w:hAnsi="宋体"/>
                <w:sz w:val="21"/>
                <w:szCs w:val="21"/>
              </w:rPr>
              <w:t>根据财政部《</w:t>
            </w:r>
            <w:r>
              <w:rPr>
                <w:rFonts w:hint="eastAsia" w:ascii="宋体" w:hAnsi="宋体" w:cs="微软雅黑"/>
                <w:bCs/>
                <w:sz w:val="21"/>
                <w:szCs w:val="21"/>
              </w:rPr>
              <w:t>关于在政府采购活动中查询及使用信用记录有关问题的通知</w:t>
            </w:r>
            <w:r>
              <w:rPr>
                <w:rFonts w:hint="eastAsia" w:ascii="宋体" w:hAnsi="宋体"/>
                <w:sz w:val="21"/>
                <w:szCs w:val="21"/>
              </w:rPr>
              <w:t>》（财库</w:t>
            </w:r>
            <w:r>
              <w:rPr>
                <w:rFonts w:hint="eastAsia" w:ascii="宋体" w:hAnsi="宋体" w:cs="微软雅黑"/>
                <w:bCs/>
                <w:sz w:val="21"/>
                <w:szCs w:val="21"/>
              </w:rPr>
              <w:t>〔2016〕</w:t>
            </w:r>
            <w:r>
              <w:rPr>
                <w:rFonts w:hint="eastAsia" w:ascii="宋体" w:hAnsi="宋体"/>
                <w:sz w:val="21"/>
                <w:szCs w:val="21"/>
              </w:rPr>
              <w:t>125号）要求，</w:t>
            </w:r>
            <w:r>
              <w:rPr>
                <w:rFonts w:hint="eastAsia" w:ascii="宋体" w:hAnsi="宋体" w:cs="微软雅黑"/>
                <w:bCs/>
                <w:sz w:val="21"/>
                <w:szCs w:val="21"/>
              </w:rPr>
              <w:t>在评审现场通过“信用中国”网站(www.creditchina.gov.cn)、中国政府采购网(www.ccgp.gov.cn)等渠道查询及审查投标人的相关信用记录，并将查询的结果网页截屏与评审资料一并保存。</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（1）如投标人在采购人评审时查询到的信用记录结果中显示被列入失信被执行人、重大税收违法案件当事人名单、政府采购严重违法失信行为记录名单，其投标作无效投标处理。</w:t>
            </w:r>
          </w:p>
          <w:p>
            <w:pPr>
              <w:kinsoku w:val="0"/>
              <w:overflowPunct w:val="0"/>
              <w:autoSpaceDE w:val="0"/>
              <w:autoSpaceDN w:val="0"/>
              <w:snapToGrid w:val="0"/>
              <w:spacing w:line="320" w:lineRule="exact"/>
              <w:rPr>
                <w:rFonts w:ascii="宋体" w:hAnsi="宋体"/>
                <w:sz w:val="21"/>
                <w:szCs w:val="21"/>
              </w:rPr>
            </w:pPr>
            <w:r>
              <w:rPr>
                <w:rFonts w:hint="eastAsia" w:ascii="宋体" w:hAnsi="宋体" w:cs="微软雅黑"/>
                <w:bCs/>
                <w:sz w:val="21"/>
                <w:szCs w:val="21"/>
              </w:rPr>
              <w:t>（2）如投标人在采购人评审时查询到的信用记录结果中显示其在参加本次政府采购活动前三年内，在经营活动中因违法经营受到刑事处罚或者责令停产停业、吊销许可证或者执照、较大数额罚款等行政处罚的，属于存在重大违法记录，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cs="微软雅黑"/>
                <w:bCs/>
                <w:kern w:val="0"/>
              </w:rPr>
            </w:pPr>
            <w:r>
              <w:rPr>
                <w:rFonts w:hint="eastAsia" w:hAnsi="宋体" w:cs="微软雅黑"/>
                <w:bCs/>
                <w:kern w:val="0"/>
              </w:rPr>
              <w:t>*投标人</w:t>
            </w:r>
            <w:r>
              <w:rPr>
                <w:rFonts w:hAnsi="宋体" w:cs="微软雅黑"/>
                <w:bCs/>
                <w:kern w:val="0"/>
              </w:rPr>
              <w:t>须具备的特殊资质证书</w:t>
            </w:r>
          </w:p>
        </w:tc>
        <w:tc>
          <w:tcPr>
            <w:tcW w:w="3223" w:type="dxa"/>
          </w:tcPr>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互联网资源协作服务相关证明文</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件：</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根据工业和信息化部《关于督促</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互联网网络接入服务企业依法持</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证经营的通知》工信管函〔2018〕84号文件精神，投标人应取得互联网资源协作服务业务许可：</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（1）投标人须提供《中华人民共</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和国增值电信业务经营许可证》</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复印件：</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①该许可证中的业务种类包含“</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第一类增值电信业务中的互联网</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数据中心业务”及业务覆盖范围</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包含北京；如有“不含互联网资</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源协作服务的机房所在地”描述</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的，须不包含北京；</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或②该许可证中的业务种类包含</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“第一类增值电信业务中的互联</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网数据中心业务”且业务覆盖范</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围（服务项目）为包含北京在内的互联网资源协作服务。</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投标人提供的《中华人民共和国</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增值电信业务经营许可证》复印</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件中的表述内容符合上述两种情</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形任何一种的均合格。</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（2）如投标人无法提供符合上述</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情形的《中华人民共和国增值电</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信业务经营许可证》复印件的，</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投标人应如实提供相关说明及行</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业主管部门出具的证明材料，证</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明其已取得互联网资源协作服务</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业务许可且业务覆盖范围包含北</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京，评审时评标委员会保留审核</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该投标人实际情况的权利。投标</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人不提供真实情况的，情节严重</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的将根据政府采购相关法律法规</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restart"/>
            <w:vAlign w:val="center"/>
          </w:tcPr>
          <w:p>
            <w:pPr>
              <w:kinsoku w:val="0"/>
              <w:overflowPunct w:val="0"/>
              <w:autoSpaceDE w:val="0"/>
              <w:autoSpaceDN w:val="0"/>
              <w:snapToGrid w:val="0"/>
              <w:spacing w:line="320" w:lineRule="exact"/>
              <w:jc w:val="center"/>
              <w:rPr>
                <w:rFonts w:ascii="宋体" w:hAnsi="宋体"/>
                <w:sz w:val="21"/>
                <w:szCs w:val="21"/>
              </w:rPr>
            </w:pPr>
            <w:r>
              <w:rPr>
                <w:rFonts w:hint="eastAsia" w:ascii="宋体" w:hAnsi="宋体" w:cs="微软雅黑"/>
                <w:bCs/>
                <w:sz w:val="21"/>
                <w:szCs w:val="21"/>
              </w:rPr>
              <w:t>投标人应提交的技术文件</w:t>
            </w:r>
          </w:p>
        </w:tc>
        <w:tc>
          <w:tcPr>
            <w:tcW w:w="2979" w:type="dxa"/>
            <w:vAlign w:val="center"/>
          </w:tcPr>
          <w:p>
            <w:pPr>
              <w:pStyle w:val="12"/>
              <w:numPr>
                <w:ilvl w:val="0"/>
                <w:numId w:val="13"/>
              </w:numPr>
              <w:kinsoku w:val="0"/>
              <w:overflowPunct w:val="0"/>
              <w:autoSpaceDE w:val="0"/>
              <w:autoSpaceDN w:val="0"/>
              <w:spacing w:line="320" w:lineRule="exact"/>
              <w:rPr>
                <w:rFonts w:hAnsi="宋体" w:cs="微软雅黑"/>
                <w:bCs/>
                <w:kern w:val="0"/>
              </w:rPr>
            </w:pPr>
            <w:r>
              <w:rPr>
                <w:rFonts w:hint="eastAsia" w:hAnsi="宋体"/>
                <w:kern w:val="0"/>
              </w:rPr>
              <w:t>*投标函</w:t>
            </w:r>
          </w:p>
        </w:tc>
        <w:tc>
          <w:tcPr>
            <w:tcW w:w="3223" w:type="dxa"/>
          </w:tcPr>
          <w:p>
            <w:pPr>
              <w:pStyle w:val="12"/>
              <w:kinsoku w:val="0"/>
              <w:overflowPunct w:val="0"/>
              <w:autoSpaceDE w:val="0"/>
              <w:autoSpaceDN w:val="0"/>
              <w:spacing w:line="320" w:lineRule="exact"/>
              <w:rPr>
                <w:rFonts w:hAnsi="宋体" w:cs="微软雅黑"/>
                <w:bCs/>
                <w:kern w:val="0"/>
              </w:rPr>
            </w:pPr>
            <w:r>
              <w:rPr>
                <w:rFonts w:hint="eastAsia" w:hAnsi="宋体"/>
                <w:kern w:val="0"/>
              </w:rPr>
              <w:t>根据招标文件提供格式填写，加盖投标人电子签章。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9"/>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kinsoku w:val="0"/>
              <w:overflowPunct w:val="0"/>
              <w:autoSpaceDE w:val="0"/>
              <w:autoSpaceDN w:val="0"/>
              <w:snapToGrid w:val="0"/>
              <w:spacing w:line="320" w:lineRule="exact"/>
              <w:jc w:val="center"/>
              <w:rPr>
                <w:rFonts w:ascii="宋体" w:hAnsi="宋体" w:cs="微软雅黑"/>
                <w:bCs/>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*投标分项报价表</w:t>
            </w:r>
          </w:p>
        </w:tc>
        <w:tc>
          <w:tcPr>
            <w:tcW w:w="3223" w:type="dxa"/>
          </w:tcPr>
          <w:p>
            <w:pPr>
              <w:pStyle w:val="12"/>
              <w:kinsoku w:val="0"/>
              <w:overflowPunct w:val="0"/>
              <w:autoSpaceDE w:val="0"/>
              <w:autoSpaceDN w:val="0"/>
              <w:spacing w:line="320" w:lineRule="exact"/>
              <w:rPr>
                <w:rFonts w:hAnsi="宋体"/>
                <w:kern w:val="0"/>
              </w:rPr>
            </w:pPr>
            <w:r>
              <w:rPr>
                <w:rFonts w:hint="eastAsia" w:hAnsi="宋体"/>
                <w:kern w:val="0"/>
              </w:rPr>
              <w:t>参考招标文件提供格式自行编制，加盖投标人电子签章(报价</w:t>
            </w:r>
            <w:r>
              <w:rPr>
                <w:rFonts w:hAnsi="宋体"/>
                <w:kern w:val="0"/>
              </w:rPr>
              <w:t>单位：元</w:t>
            </w:r>
            <w:r>
              <w:rPr>
                <w:rFonts w:hint="eastAsia"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kinsoku w:val="0"/>
              <w:overflowPunct w:val="0"/>
              <w:autoSpaceDE w:val="0"/>
              <w:autoSpaceDN w:val="0"/>
              <w:snapToGrid w:val="0"/>
              <w:spacing w:line="320" w:lineRule="exact"/>
              <w:jc w:val="center"/>
              <w:rPr>
                <w:rFonts w:ascii="宋体" w:hAnsi="宋体" w:cs="微软雅黑"/>
                <w:bCs/>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中小微企业政策文件</w:t>
            </w:r>
          </w:p>
        </w:tc>
        <w:tc>
          <w:tcPr>
            <w:tcW w:w="3223" w:type="dxa"/>
          </w:tcPr>
          <w:p>
            <w:pPr>
              <w:kinsoku w:val="0"/>
              <w:overflowPunct w:val="0"/>
              <w:autoSpaceDE w:val="0"/>
              <w:autoSpaceDN w:val="0"/>
              <w:snapToGrid w:val="0"/>
              <w:spacing w:line="320" w:lineRule="exact"/>
              <w:rPr>
                <w:rFonts w:ascii="宋体" w:hAnsi="宋体"/>
                <w:sz w:val="21"/>
                <w:szCs w:val="21"/>
              </w:rPr>
            </w:pPr>
            <w:r>
              <w:rPr>
                <w:rFonts w:hint="eastAsia" w:ascii="宋体" w:hAnsi="宋体"/>
                <w:sz w:val="21"/>
                <w:szCs w:val="21"/>
              </w:rPr>
              <w:t>根据招标文件提供格式填写，加盖投标人电子签章。</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sz w:val="21"/>
                <w:szCs w:val="21"/>
              </w:rPr>
              <w:t>说明：</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（1）</w:t>
            </w:r>
            <w:r>
              <w:rPr>
                <w:rFonts w:hint="eastAsia" w:ascii="宋体" w:hAnsi="宋体"/>
                <w:sz w:val="21"/>
                <w:szCs w:val="21"/>
              </w:rPr>
              <w:t>根据财政部 、工业和信息化部关于印发《政府采购促进中小企业发展管理办法》的通知（财库</w:t>
            </w:r>
            <w:r>
              <w:rPr>
                <w:rFonts w:hint="eastAsia" w:ascii="宋体" w:hAnsi="宋体" w:cs="微软雅黑"/>
                <w:bCs/>
                <w:sz w:val="21"/>
                <w:szCs w:val="21"/>
              </w:rPr>
              <w:t>〔2020〕</w:t>
            </w:r>
            <w:r>
              <w:rPr>
                <w:rFonts w:hint="eastAsia" w:ascii="宋体" w:hAnsi="宋体"/>
                <w:sz w:val="21"/>
                <w:szCs w:val="21"/>
              </w:rPr>
              <w:t>46号）的要求，</w:t>
            </w:r>
            <w:r>
              <w:rPr>
                <w:rFonts w:hint="eastAsia" w:ascii="宋体" w:hAnsi="宋体" w:cs="微软雅黑"/>
                <w:b/>
                <w:bCs/>
                <w:sz w:val="21"/>
                <w:szCs w:val="21"/>
              </w:rPr>
              <w:t>投标人提供的货物、工程或者服务符合享受本办法规定的中小企业扶持政策的</w:t>
            </w:r>
            <w:r>
              <w:rPr>
                <w:rFonts w:hint="eastAsia" w:ascii="宋体" w:hAnsi="宋体" w:cs="微软雅黑"/>
                <w:bCs/>
                <w:sz w:val="21"/>
                <w:szCs w:val="21"/>
              </w:rPr>
              <w:t>，根据招标文件格式提供《中小企业声明函》。</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2）根据财政部、司法部《关于政府采购支持监狱企业发展有关问题》的通知（财库〔2014〕68号），监狱企业参加本项目投标时，应当提供由省级以上监狱管理局、戒毒管理局（新疆生产建设兵团）出具的属于监狱企业的证明文件。监狱企业视同</w:t>
            </w:r>
            <w:r>
              <w:rPr>
                <w:rFonts w:hint="eastAsia" w:ascii="宋体" w:hAnsi="宋体" w:cs="微软雅黑"/>
                <w:b/>
                <w:bCs/>
                <w:sz w:val="21"/>
                <w:szCs w:val="21"/>
              </w:rPr>
              <w:t>小型、微型企业</w:t>
            </w:r>
            <w:r>
              <w:rPr>
                <w:rFonts w:hint="eastAsia" w:ascii="宋体" w:hAnsi="宋体" w:cs="微软雅黑"/>
                <w:bCs/>
                <w:sz w:val="21"/>
                <w:szCs w:val="21"/>
              </w:rPr>
              <w:t>。</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（3）根据财政部、民政部、中国残疾人联合会《关于促进残疾人就业政府采购政策的通知》（财库〔2017〕141号），在政府采购活动中，残疾人福利性单位</w:t>
            </w:r>
            <w:r>
              <w:rPr>
                <w:rFonts w:hint="eastAsia" w:ascii="宋体" w:hAnsi="宋体" w:cs="微软雅黑"/>
                <w:b/>
                <w:bCs/>
                <w:sz w:val="21"/>
                <w:szCs w:val="21"/>
              </w:rPr>
              <w:t>视同小型、微型</w:t>
            </w:r>
            <w:r>
              <w:rPr>
                <w:rFonts w:hint="eastAsia" w:ascii="宋体" w:hAnsi="宋体" w:cs="微软雅黑"/>
                <w:bCs/>
                <w:sz w:val="21"/>
                <w:szCs w:val="21"/>
              </w:rPr>
              <w:t>企业，享受同等价格扣除，但同时属于残疾人福利性单位和小微企业的，不重复价格扣除。投标人属于残疾人福利性单位的，根据招标文件格式提供《残疾人福利性单位声明函》。</w:t>
            </w:r>
          </w:p>
          <w:p>
            <w:pPr>
              <w:pStyle w:val="12"/>
              <w:kinsoku w:val="0"/>
              <w:overflowPunct w:val="0"/>
              <w:autoSpaceDE w:val="0"/>
              <w:autoSpaceDN w:val="0"/>
              <w:spacing w:line="320" w:lineRule="exact"/>
              <w:rPr>
                <w:rFonts w:hAnsi="宋体"/>
              </w:rPr>
            </w:pPr>
          </w:p>
          <w:p>
            <w:pPr>
              <w:pStyle w:val="12"/>
              <w:kinsoku w:val="0"/>
              <w:overflowPunct w:val="0"/>
              <w:autoSpaceDE w:val="0"/>
              <w:autoSpaceDN w:val="0"/>
              <w:spacing w:line="320" w:lineRule="exact"/>
              <w:rPr>
                <w:rFonts w:hAnsi="宋体"/>
              </w:rPr>
            </w:pPr>
            <w:r>
              <w:rPr>
                <w:rFonts w:hint="eastAsia" w:hAnsi="宋体"/>
              </w:rPr>
              <w:t>具体执行规定：</w:t>
            </w:r>
          </w:p>
          <w:p>
            <w:pPr>
              <w:pStyle w:val="12"/>
              <w:kinsoku w:val="0"/>
              <w:overflowPunct w:val="0"/>
              <w:autoSpaceDE w:val="0"/>
              <w:autoSpaceDN w:val="0"/>
              <w:spacing w:line="320" w:lineRule="exact"/>
              <w:rPr>
                <w:rFonts w:hAnsi="宋体"/>
                <w:shd w:val="clear" w:color="auto" w:fill="FFFFFF"/>
              </w:rPr>
            </w:pPr>
            <w:r>
              <w:rPr>
                <w:rFonts w:hint="eastAsia" w:hAnsi="宋体"/>
                <w:shd w:val="clear" w:color="auto" w:fill="FFFFFF"/>
              </w:rPr>
              <w:t>（1）本项目对属于小型和微型企业的投标人的投标报价给予</w:t>
            </w:r>
            <w:r>
              <w:rPr>
                <w:rFonts w:hint="eastAsia" w:hAnsi="宋体"/>
                <w:color w:val="FF0000"/>
                <w:shd w:val="clear" w:color="auto" w:fill="FFFFFF"/>
              </w:rPr>
              <w:t>10%</w:t>
            </w:r>
            <w:r>
              <w:rPr>
                <w:rFonts w:hint="eastAsia" w:hAnsi="宋体"/>
                <w:shd w:val="clear" w:color="auto" w:fill="FFFFFF"/>
              </w:rPr>
              <w:t>的扣除，用扣除后的价格参与评审。</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（2）采购标的对应的中小企业划分标准所属行业为</w:t>
            </w:r>
            <w:r>
              <w:rPr>
                <w:rFonts w:hint="eastAsia" w:ascii="宋体" w:hAnsi="宋体" w:cs="微软雅黑"/>
                <w:b/>
                <w:color w:val="FF0000"/>
                <w:sz w:val="21"/>
                <w:szCs w:val="21"/>
                <w:u w:val="single"/>
              </w:rPr>
              <w:t>软件</w:t>
            </w:r>
            <w:r>
              <w:rPr>
                <w:rFonts w:ascii="宋体" w:hAnsi="宋体" w:cs="微软雅黑"/>
                <w:b/>
                <w:color w:val="FF0000"/>
                <w:sz w:val="21"/>
                <w:szCs w:val="21"/>
                <w:u w:val="single"/>
              </w:rPr>
              <w:t>和信息</w:t>
            </w:r>
            <w:r>
              <w:rPr>
                <w:rFonts w:hint="eastAsia" w:ascii="宋体" w:hAnsi="宋体" w:cs="微软雅黑"/>
                <w:b/>
                <w:color w:val="FF0000"/>
                <w:sz w:val="21"/>
                <w:szCs w:val="21"/>
                <w:u w:val="single"/>
              </w:rPr>
              <w:t>技术</w:t>
            </w:r>
            <w:r>
              <w:rPr>
                <w:rFonts w:ascii="宋体" w:hAnsi="宋体" w:cs="微软雅黑"/>
                <w:b/>
                <w:color w:val="FF0000"/>
                <w:sz w:val="21"/>
                <w:szCs w:val="21"/>
                <w:u w:val="single"/>
              </w:rPr>
              <w:t>服务业</w:t>
            </w:r>
            <w:r>
              <w:rPr>
                <w:rFonts w:hint="eastAsia" w:ascii="宋体" w:hAnsi="宋体" w:cs="微软雅黑"/>
                <w:bCs/>
                <w:sz w:val="21"/>
                <w:szCs w:val="21"/>
              </w:rPr>
              <w:t>。</w:t>
            </w:r>
          </w:p>
          <w:p>
            <w:pPr>
              <w:kinsoku w:val="0"/>
              <w:overflowPunct w:val="0"/>
              <w:autoSpaceDE w:val="0"/>
              <w:autoSpaceDN w:val="0"/>
              <w:snapToGrid w:val="0"/>
              <w:spacing w:line="320" w:lineRule="exact"/>
              <w:rPr>
                <w:rFonts w:ascii="宋体" w:hAnsi="宋体" w:cs="微软雅黑"/>
                <w:bCs/>
                <w:sz w:val="21"/>
                <w:szCs w:val="21"/>
              </w:rPr>
            </w:pPr>
            <w:r>
              <w:rPr>
                <w:rFonts w:hint="eastAsia" w:ascii="宋体" w:hAnsi="宋体" w:cs="微软雅黑"/>
                <w:bCs/>
                <w:sz w:val="21"/>
                <w:szCs w:val="21"/>
              </w:rPr>
              <w:t>中小企业划分标准详见工业和信息化部、国家统计局、国家发展和改革委员会、财政部联合印发的《关于印发中小企业划型标准规定的通知》（工信部联企业〔2011〕300号）。</w:t>
            </w:r>
          </w:p>
          <w:p>
            <w:pPr>
              <w:pStyle w:val="12"/>
              <w:kinsoku w:val="0"/>
              <w:overflowPunct w:val="0"/>
              <w:autoSpaceDE w:val="0"/>
              <w:autoSpaceDN w:val="0"/>
              <w:spacing w:line="320" w:lineRule="exact"/>
              <w:rPr>
                <w:rFonts w:hAnsi="宋体" w:cs="微软雅黑"/>
                <w:b/>
                <w:bCs/>
              </w:rPr>
            </w:pPr>
            <w:r>
              <w:rPr>
                <w:rFonts w:hint="eastAsia" w:hAnsi="宋体" w:cs="微软雅黑"/>
                <w:b/>
                <w:bCs/>
              </w:rPr>
              <w:t>（3）请投标人根据上述相关文件通知要求认真理解并核对是否符合中小企业、监狱或残疾人福利性单位的扶持政策，并如实提供对应声明函或证明文件。投标人按照本办法规定提供声明函或证明文件不实的，属于提供虚假材料谋取中标、成交，依照《中华人民共和国政府采购法》等国家有关规定追究相应责任。</w:t>
            </w:r>
          </w:p>
          <w:p>
            <w:pPr>
              <w:pStyle w:val="12"/>
              <w:kinsoku w:val="0"/>
              <w:overflowPunct w:val="0"/>
              <w:autoSpaceDE w:val="0"/>
              <w:autoSpaceDN w:val="0"/>
              <w:spacing w:line="320" w:lineRule="exact"/>
              <w:rPr>
                <w:rFonts w:hAnsi="宋体"/>
              </w:rPr>
            </w:pPr>
            <w:r>
              <w:rPr>
                <w:rFonts w:hint="eastAsia" w:hAnsi="宋体"/>
                <w:shd w:val="clear" w:color="auto" w:fill="FFFFFF"/>
              </w:rPr>
              <w:t>（4）</w:t>
            </w:r>
            <w:r>
              <w:rPr>
                <w:rFonts w:hint="eastAsia" w:hAnsi="宋体"/>
              </w:rPr>
              <w:t>不符合上述扶持政策或适用情形的投标人无须提供上述声明函或证明文件。</w:t>
            </w:r>
          </w:p>
          <w:p>
            <w:pPr>
              <w:pStyle w:val="12"/>
              <w:kinsoku w:val="0"/>
              <w:overflowPunct w:val="0"/>
              <w:autoSpaceDE w:val="0"/>
              <w:autoSpaceDN w:val="0"/>
              <w:spacing w:line="320" w:lineRule="exact"/>
              <w:rPr>
                <w:rFonts w:hAnsi="宋体" w:cs="微软雅黑"/>
                <w:bCs/>
              </w:rPr>
            </w:pPr>
            <w:r>
              <w:rPr>
                <w:rFonts w:hint="eastAsia" w:hAnsi="宋体"/>
                <w:b/>
                <w:color w:val="FF0000"/>
              </w:rPr>
              <w:t>如投标人不符合上述政策，无须提供上述文件，可自行上传说明填无。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业绩</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企业能力</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云平台商业密码安全性评估</w:t>
            </w:r>
          </w:p>
        </w:tc>
        <w:tc>
          <w:tcPr>
            <w:tcW w:w="3223" w:type="dxa"/>
          </w:tcPr>
          <w:p>
            <w:pPr>
              <w:rPr>
                <w:rFonts w:ascii="宋体" w:hAnsi="宋体"/>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云资源服务相应情况</w:t>
            </w:r>
          </w:p>
        </w:tc>
        <w:tc>
          <w:tcPr>
            <w:tcW w:w="3223" w:type="dxa"/>
          </w:tcPr>
          <w:p>
            <w:pPr>
              <w:rPr>
                <w:rFonts w:ascii="宋体" w:hAnsi="宋体"/>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服务要求响应情况（一）</w:t>
            </w:r>
          </w:p>
        </w:tc>
        <w:tc>
          <w:tcPr>
            <w:tcW w:w="3223" w:type="dxa"/>
          </w:tcPr>
          <w:p>
            <w:pPr>
              <w:rPr>
                <w:rFonts w:ascii="宋体" w:hAnsi="宋体"/>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服务要求响应情况（二）</w:t>
            </w:r>
          </w:p>
        </w:tc>
        <w:tc>
          <w:tcPr>
            <w:tcW w:w="3223" w:type="dxa"/>
          </w:tcPr>
          <w:p>
            <w:pPr>
              <w:rPr>
                <w:rFonts w:ascii="宋体" w:hAnsi="宋体"/>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网络安全等级保护备案</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云计算服务安全评估</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项目需求分析</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项目实施方案</w:t>
            </w:r>
          </w:p>
        </w:tc>
        <w:tc>
          <w:tcPr>
            <w:tcW w:w="3223" w:type="dxa"/>
          </w:tcPr>
          <w:p>
            <w:pPr>
              <w:rPr>
                <w:rFonts w:ascii="宋体" w:hAnsi="宋体" w:cs="微软雅黑"/>
                <w:bCs/>
                <w:color w:val="FF0000"/>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运维和应急预案</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项目团队（一）</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项目团队（二）</w:t>
            </w:r>
          </w:p>
        </w:tc>
        <w:tc>
          <w:tcPr>
            <w:tcW w:w="3223" w:type="dxa"/>
          </w:tcPr>
          <w:p>
            <w:pPr>
              <w:rPr>
                <w:rFonts w:ascii="宋体" w:hAnsi="宋体" w:cs="微软雅黑"/>
                <w:bCs/>
                <w:sz w:val="21"/>
                <w:szCs w:val="21"/>
              </w:rPr>
            </w:pPr>
            <w:r>
              <w:rPr>
                <w:rFonts w:hint="eastAsia" w:ascii="宋体" w:hAnsi="宋体" w:cs="微软雅黑"/>
                <w:bCs/>
                <w:sz w:val="21"/>
                <w:szCs w:val="21"/>
              </w:rPr>
              <w:t>投标人自行编制。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vAlign w:val="center"/>
          </w:tcPr>
          <w:p>
            <w:pPr>
              <w:numPr>
                <w:ilvl w:val="0"/>
                <w:numId w:val="11"/>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Merge w:val="continue"/>
            <w:vAlign w:val="center"/>
          </w:tcPr>
          <w:p>
            <w:pPr>
              <w:jc w:val="center"/>
              <w:rPr>
                <w:rFonts w:ascii="宋体" w:hAnsi="宋体"/>
                <w:sz w:val="21"/>
                <w:szCs w:val="21"/>
              </w:rPr>
            </w:pPr>
          </w:p>
        </w:tc>
        <w:tc>
          <w:tcPr>
            <w:tcW w:w="2979" w:type="dxa"/>
            <w:vAlign w:val="center"/>
          </w:tcPr>
          <w:p>
            <w:pPr>
              <w:pStyle w:val="12"/>
              <w:numPr>
                <w:ilvl w:val="0"/>
                <w:numId w:val="13"/>
              </w:numPr>
              <w:kinsoku w:val="0"/>
              <w:overflowPunct w:val="0"/>
              <w:autoSpaceDE w:val="0"/>
              <w:autoSpaceDN w:val="0"/>
              <w:spacing w:line="320" w:lineRule="exact"/>
              <w:rPr>
                <w:rFonts w:hAnsi="宋体"/>
                <w:kern w:val="0"/>
              </w:rPr>
            </w:pPr>
            <w:r>
              <w:rPr>
                <w:rFonts w:hint="eastAsia" w:hAnsi="宋体"/>
                <w:kern w:val="0"/>
              </w:rPr>
              <w:t>*投标一览表</w:t>
            </w:r>
          </w:p>
        </w:tc>
        <w:tc>
          <w:tcPr>
            <w:tcW w:w="3223" w:type="dxa"/>
          </w:tcPr>
          <w:p>
            <w:pPr>
              <w:kinsoku w:val="0"/>
              <w:overflowPunct w:val="0"/>
              <w:autoSpaceDE w:val="0"/>
              <w:autoSpaceDN w:val="0"/>
              <w:snapToGrid w:val="0"/>
              <w:spacing w:line="320" w:lineRule="exact"/>
              <w:rPr>
                <w:rFonts w:ascii="宋体" w:hAnsi="宋体" w:cs="微软雅黑"/>
                <w:sz w:val="21"/>
                <w:szCs w:val="21"/>
              </w:rPr>
            </w:pPr>
            <w:r>
              <w:rPr>
                <w:rFonts w:hint="eastAsia" w:ascii="宋体" w:hAnsi="宋体" w:cs="微软雅黑"/>
                <w:bCs/>
                <w:sz w:val="21"/>
                <w:szCs w:val="21"/>
              </w:rPr>
              <w:t>按照电子投标制作工具</w:t>
            </w:r>
            <w:r>
              <w:rPr>
                <w:rFonts w:hint="eastAsia" w:ascii="宋体" w:hAnsi="宋体" w:cs="微软雅黑"/>
                <w:sz w:val="21"/>
                <w:szCs w:val="21"/>
              </w:rPr>
              <w:t>客户端填报生成，加盖投标人电子签章</w:t>
            </w:r>
            <w:r>
              <w:rPr>
                <w:rFonts w:hint="eastAsia" w:ascii="宋体" w:hAnsi="宋体" w:cs="微软雅黑"/>
                <w:bCs/>
                <w:sz w:val="21"/>
                <w:szCs w:val="21"/>
              </w:rPr>
              <w:t>(报价单位：元)</w:t>
            </w:r>
            <w:r>
              <w:rPr>
                <w:rFonts w:hint="eastAsia" w:ascii="宋体" w:hAnsi="宋体" w:cs="微软雅黑"/>
                <w:sz w:val="21"/>
                <w:szCs w:val="21"/>
              </w:rPr>
              <w:t>。</w:t>
            </w:r>
          </w:p>
          <w:p>
            <w:pPr>
              <w:kinsoku w:val="0"/>
              <w:overflowPunct w:val="0"/>
              <w:autoSpaceDE w:val="0"/>
              <w:autoSpaceDN w:val="0"/>
              <w:snapToGrid w:val="0"/>
              <w:spacing w:line="320" w:lineRule="exact"/>
              <w:rPr>
                <w:rFonts w:ascii="宋体" w:hAnsi="宋体" w:cs="微软雅黑"/>
                <w:bCs/>
                <w:sz w:val="21"/>
                <w:szCs w:val="21"/>
                <w:highlight w:val="yellow"/>
              </w:rPr>
            </w:pPr>
            <w:r>
              <w:rPr>
                <w:rFonts w:hint="eastAsia" w:ascii="宋体" w:hAnsi="宋体" w:cs="微软雅黑"/>
                <w:b/>
                <w:color w:val="FF0000"/>
                <w:sz w:val="21"/>
                <w:szCs w:val="21"/>
              </w:rPr>
              <w:t>投标一览表在客户端填报生成后，与制作生成的电子投标文件一同加密上传，无须在电子投标文件中额外提供。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pacing w:line="320" w:lineRule="exact"/>
              <w:jc w:val="center"/>
              <w:rPr>
                <w:rFonts w:ascii="宋体" w:hAnsi="宋体" w:cs="微软雅黑"/>
                <w:bCs/>
                <w:sz w:val="21"/>
                <w:szCs w:val="21"/>
              </w:rPr>
            </w:pPr>
            <w:r>
              <w:rPr>
                <w:rFonts w:hint="eastAsia" w:ascii="宋体" w:hAnsi="宋体" w:cs="微软雅黑"/>
                <w:bCs/>
                <w:sz w:val="21"/>
                <w:szCs w:val="21"/>
              </w:rPr>
              <w:t>投标保证金</w:t>
            </w:r>
          </w:p>
        </w:tc>
        <w:tc>
          <w:tcPr>
            <w:tcW w:w="2979" w:type="dxa"/>
            <w:vAlign w:val="center"/>
          </w:tcPr>
          <w:p>
            <w:pPr>
              <w:pStyle w:val="24"/>
              <w:keepNext w:val="0"/>
              <w:keepLines w:val="0"/>
              <w:numPr>
                <w:ilvl w:val="0"/>
                <w:numId w:val="0"/>
              </w:numPr>
              <w:kinsoku w:val="0"/>
              <w:overflowPunct w:val="0"/>
              <w:autoSpaceDE w:val="0"/>
              <w:autoSpaceDN w:val="0"/>
              <w:spacing w:before="0" w:after="0" w:line="320" w:lineRule="exact"/>
              <w:rPr>
                <w:rFonts w:cs="微软雅黑"/>
                <w:bCs/>
                <w:color w:val="auto"/>
                <w:szCs w:val="21"/>
              </w:rPr>
            </w:pPr>
            <w:r>
              <w:rPr>
                <w:rFonts w:hint="eastAsia" w:cs="微软雅黑"/>
                <w:bCs/>
                <w:color w:val="auto"/>
                <w:szCs w:val="21"/>
              </w:rPr>
              <w:t>本项目不收取投标保证金。</w:t>
            </w:r>
          </w:p>
        </w:tc>
        <w:tc>
          <w:tcPr>
            <w:tcW w:w="3223" w:type="dxa"/>
          </w:tcPr>
          <w:p>
            <w:pPr>
              <w:pStyle w:val="24"/>
              <w:keepNext w:val="0"/>
              <w:keepLines w:val="0"/>
              <w:numPr>
                <w:ilvl w:val="0"/>
                <w:numId w:val="0"/>
              </w:numPr>
              <w:kinsoku w:val="0"/>
              <w:overflowPunct w:val="0"/>
              <w:autoSpaceDE w:val="0"/>
              <w:autoSpaceDN w:val="0"/>
              <w:spacing w:before="0" w:after="0" w:line="320" w:lineRule="exact"/>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pacing w:line="320" w:lineRule="exact"/>
              <w:jc w:val="center"/>
              <w:rPr>
                <w:rFonts w:ascii="宋体" w:hAnsi="宋体" w:cs="微软雅黑"/>
                <w:bCs/>
                <w:sz w:val="21"/>
                <w:szCs w:val="21"/>
              </w:rPr>
            </w:pPr>
            <w:r>
              <w:rPr>
                <w:rFonts w:hint="eastAsia" w:ascii="宋体" w:hAnsi="宋体" w:cs="微软雅黑"/>
                <w:bCs/>
                <w:sz w:val="21"/>
                <w:szCs w:val="21"/>
              </w:rPr>
              <w:t>是否允许进口产品投标</w:t>
            </w:r>
          </w:p>
        </w:tc>
        <w:tc>
          <w:tcPr>
            <w:tcW w:w="2979" w:type="dxa"/>
            <w:vAlign w:val="center"/>
          </w:tcPr>
          <w:p>
            <w:pPr>
              <w:pStyle w:val="24"/>
              <w:keepNext w:val="0"/>
              <w:keepLines w:val="0"/>
              <w:numPr>
                <w:ilvl w:val="0"/>
                <w:numId w:val="0"/>
              </w:numPr>
              <w:kinsoku w:val="0"/>
              <w:overflowPunct w:val="0"/>
              <w:autoSpaceDE w:val="0"/>
              <w:autoSpaceDN w:val="0"/>
              <w:spacing w:before="0" w:after="0" w:line="320" w:lineRule="exact"/>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pacing w:before="0" w:after="0" w:line="320" w:lineRule="exact"/>
              <w:rPr>
                <w:rFonts w:cs="微软雅黑"/>
                <w:bCs/>
                <w:color w:val="auto"/>
                <w:szCs w:val="21"/>
              </w:rPr>
            </w:pPr>
            <w:r>
              <w:rPr>
                <w:rFonts w:hint="eastAsia" w:cs="微软雅黑"/>
                <w:bCs/>
                <w:color w:val="auto"/>
                <w:szCs w:val="21"/>
              </w:rPr>
              <w:t>依据北京市财政局关于采购进口产品的有关规定，采购人采购进口产品须履行相关程序，本项采购未履行相关程序，故投标人所投货物仅限产自中国境内的产品。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是否接受可选择或可调整的投标方案和报价</w:t>
            </w:r>
          </w:p>
        </w:tc>
        <w:tc>
          <w:tcPr>
            <w:tcW w:w="2979" w:type="dxa"/>
            <w:vAlign w:val="center"/>
          </w:tcPr>
          <w:p>
            <w:pPr>
              <w:pStyle w:val="27"/>
              <w:kinsoku w:val="0"/>
              <w:overflowPunct w:val="0"/>
              <w:autoSpaceDE w:val="0"/>
              <w:autoSpaceDN w:val="0"/>
              <w:adjustRightInd w:val="0"/>
              <w:snapToGrid w:val="0"/>
              <w:spacing w:line="320" w:lineRule="exact"/>
              <w:rPr>
                <w:rFonts w:hAnsi="宋体" w:cs="微软雅黑"/>
                <w:bCs/>
              </w:rPr>
            </w:pPr>
            <w:r>
              <w:rPr>
                <w:rFonts w:hint="eastAsia" w:hAnsi="宋体" w:cs="微软雅黑"/>
                <w:bCs/>
                <w:kern w:val="0"/>
              </w:rPr>
              <w:t>否</w:t>
            </w:r>
          </w:p>
        </w:tc>
        <w:tc>
          <w:tcPr>
            <w:tcW w:w="3223" w:type="dxa"/>
          </w:tcPr>
          <w:p>
            <w:pPr>
              <w:pStyle w:val="27"/>
              <w:kinsoku w:val="0"/>
              <w:overflowPunct w:val="0"/>
              <w:autoSpaceDE w:val="0"/>
              <w:autoSpaceDN w:val="0"/>
              <w:adjustRightInd w:val="0"/>
              <w:snapToGrid w:val="0"/>
              <w:spacing w:line="320" w:lineRule="exact"/>
              <w:rPr>
                <w:rFonts w:hAnsi="宋体" w:cs="微软雅黑"/>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是否允许转包</w:t>
            </w:r>
          </w:p>
        </w:tc>
        <w:tc>
          <w:tcPr>
            <w:tcW w:w="2979" w:type="dxa"/>
            <w:vAlign w:val="center"/>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是否允许分包</w:t>
            </w:r>
          </w:p>
        </w:tc>
        <w:tc>
          <w:tcPr>
            <w:tcW w:w="2979" w:type="dxa"/>
            <w:vAlign w:val="center"/>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是否允许联合体投标</w:t>
            </w:r>
          </w:p>
        </w:tc>
        <w:tc>
          <w:tcPr>
            <w:tcW w:w="2979" w:type="dxa"/>
            <w:vAlign w:val="center"/>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是否专门面向中小企业采购</w:t>
            </w:r>
          </w:p>
        </w:tc>
        <w:tc>
          <w:tcPr>
            <w:tcW w:w="2979"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是否专门面向小微企业采购</w:t>
            </w:r>
          </w:p>
        </w:tc>
        <w:tc>
          <w:tcPr>
            <w:tcW w:w="2979"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否</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numPr>
                <w:ilvl w:val="0"/>
                <w:numId w:val="12"/>
              </w:numPr>
              <w:kinsoku w:val="0"/>
              <w:overflowPunct w:val="0"/>
              <w:autoSpaceDE w:val="0"/>
              <w:autoSpaceDN w:val="0"/>
              <w:snapToGrid w:val="0"/>
              <w:spacing w:line="320" w:lineRule="exact"/>
              <w:jc w:val="center"/>
              <w:textAlignment w:val="auto"/>
              <w:rPr>
                <w:rFonts w:ascii="宋体" w:hAnsi="宋体" w:cs="微软雅黑"/>
                <w:bCs/>
                <w:sz w:val="21"/>
                <w:szCs w:val="21"/>
              </w:rPr>
            </w:pPr>
          </w:p>
        </w:tc>
        <w:tc>
          <w:tcPr>
            <w:tcW w:w="2411" w:type="dxa"/>
            <w:vAlign w:val="center"/>
          </w:tcPr>
          <w:p>
            <w:pPr>
              <w:kinsoku w:val="0"/>
              <w:overflowPunct w:val="0"/>
              <w:autoSpaceDE w:val="0"/>
              <w:autoSpaceDN w:val="0"/>
              <w:snapToGrid w:val="0"/>
              <w:spacing w:line="320" w:lineRule="exact"/>
              <w:jc w:val="center"/>
              <w:rPr>
                <w:rFonts w:ascii="宋体" w:hAnsi="宋体" w:cs="微软雅黑"/>
                <w:bCs/>
                <w:sz w:val="21"/>
                <w:szCs w:val="21"/>
              </w:rPr>
            </w:pPr>
            <w:r>
              <w:rPr>
                <w:rFonts w:hint="eastAsia" w:ascii="宋体" w:hAnsi="宋体" w:cs="微软雅黑"/>
                <w:bCs/>
                <w:sz w:val="21"/>
                <w:szCs w:val="21"/>
              </w:rPr>
              <w:t>投标文件有效期</w:t>
            </w:r>
          </w:p>
        </w:tc>
        <w:tc>
          <w:tcPr>
            <w:tcW w:w="2979" w:type="dxa"/>
            <w:vAlign w:val="center"/>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r>
              <w:rPr>
                <w:rFonts w:hint="eastAsia" w:cs="微软雅黑"/>
                <w:bCs/>
                <w:color w:val="auto"/>
                <w:szCs w:val="21"/>
              </w:rPr>
              <w:t>180个日历日（从开标日起计算）</w:t>
            </w:r>
          </w:p>
        </w:tc>
        <w:tc>
          <w:tcPr>
            <w:tcW w:w="3223" w:type="dxa"/>
          </w:tcPr>
          <w:p>
            <w:pPr>
              <w:pStyle w:val="24"/>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Cs w:val="21"/>
              </w:rPr>
            </w:pPr>
          </w:p>
        </w:tc>
      </w:tr>
    </w:tbl>
    <w:p>
      <w:pPr>
        <w:snapToGrid w:val="0"/>
        <w:spacing w:line="400" w:lineRule="exact"/>
        <w:jc w:val="both"/>
        <w:rPr>
          <w:rFonts w:ascii="宋体" w:hAnsi="宋体" w:cs="微软雅黑"/>
          <w:sz w:val="21"/>
          <w:szCs w:val="21"/>
        </w:rPr>
        <w:sectPr>
          <w:headerReference r:id="rId11" w:type="default"/>
          <w:footerReference r:id="rId12" w:type="default"/>
          <w:pgSz w:w="11907" w:h="16840"/>
          <w:pgMar w:top="1418" w:right="1418" w:bottom="1418" w:left="1418" w:header="851" w:footer="850" w:gutter="0"/>
          <w:cols w:space="720" w:num="1"/>
          <w:docGrid w:type="lines" w:linePitch="326" w:charSpace="0"/>
        </w:sectPr>
      </w:pPr>
    </w:p>
    <w:p>
      <w:pPr>
        <w:pStyle w:val="29"/>
        <w:snapToGrid w:val="0"/>
        <w:spacing w:before="0" w:after="0"/>
        <w:ind w:left="0"/>
        <w:rPr>
          <w:rFonts w:ascii="宋体" w:hAnsi="宋体"/>
        </w:rPr>
      </w:pPr>
      <w:bookmarkStart w:id="47" w:name="_Toc20975"/>
      <w:bookmarkStart w:id="48" w:name="_Toc328815991"/>
      <w:bookmarkStart w:id="49" w:name="_Toc186274106"/>
      <w:bookmarkStart w:id="50" w:name="_Toc174185153"/>
      <w:bookmarkStart w:id="51" w:name="_Toc86202581"/>
      <w:r>
        <w:rPr>
          <w:rFonts w:hint="eastAsia" w:ascii="宋体" w:hAnsi="宋体"/>
        </w:rPr>
        <w:t xml:space="preserve">  </w:t>
      </w:r>
      <w:bookmarkStart w:id="52" w:name="_Toc466015312"/>
      <w:r>
        <w:rPr>
          <w:rFonts w:hint="eastAsia" w:ascii="宋体" w:hAnsi="宋体"/>
        </w:rPr>
        <w:t>投标人须知</w:t>
      </w:r>
      <w:bookmarkEnd w:id="47"/>
      <w:bookmarkEnd w:id="48"/>
      <w:bookmarkEnd w:id="52"/>
    </w:p>
    <w:bookmarkEnd w:id="49"/>
    <w:bookmarkEnd w:id="50"/>
    <w:p>
      <w:pPr>
        <w:pStyle w:val="34"/>
        <w:numPr>
          <w:ilvl w:val="0"/>
          <w:numId w:val="0"/>
        </w:numPr>
        <w:adjustRightInd/>
        <w:textAlignment w:val="auto"/>
      </w:pPr>
    </w:p>
    <w:bookmarkEnd w:id="51"/>
    <w:p>
      <w:pPr>
        <w:pStyle w:val="4"/>
        <w:spacing w:before="0" w:after="120" w:line="400" w:lineRule="exact"/>
        <w:ind w:left="238"/>
        <w:rPr>
          <w:rFonts w:ascii="宋体" w:hAnsi="宋体" w:eastAsia="宋体" w:cs="微软雅黑"/>
          <w:bCs w:val="0"/>
          <w:sz w:val="21"/>
          <w:szCs w:val="21"/>
        </w:rPr>
      </w:pPr>
      <w:bookmarkStart w:id="53" w:name="_Toc328815992"/>
      <w:r>
        <w:rPr>
          <w:rFonts w:hint="eastAsia" w:ascii="宋体" w:hAnsi="宋体" w:eastAsia="宋体" w:cs="微软雅黑"/>
          <w:bCs w:val="0"/>
          <w:sz w:val="21"/>
          <w:szCs w:val="21"/>
        </w:rPr>
        <w:t>总则</w:t>
      </w:r>
      <w:bookmarkEnd w:id="53"/>
    </w:p>
    <w:p>
      <w:pPr>
        <w:pStyle w:val="34"/>
        <w:tabs>
          <w:tab w:val="clear" w:pos="709"/>
        </w:tabs>
        <w:spacing w:line="400" w:lineRule="exact"/>
        <w:rPr>
          <w:rFonts w:cs="微软雅黑"/>
        </w:rPr>
      </w:pPr>
      <w:r>
        <w:rPr>
          <w:rFonts w:hint="eastAsia" w:cs="微软雅黑"/>
        </w:rPr>
        <w:t>定义：</w:t>
      </w:r>
    </w:p>
    <w:p>
      <w:pPr>
        <w:pStyle w:val="34"/>
        <w:numPr>
          <w:ilvl w:val="1"/>
          <w:numId w:val="2"/>
        </w:numPr>
        <w:spacing w:line="400" w:lineRule="exact"/>
        <w:rPr>
          <w:rFonts w:cs="微软雅黑"/>
        </w:rPr>
      </w:pPr>
      <w:r>
        <w:rPr>
          <w:rFonts w:hint="eastAsia" w:cs="微软雅黑"/>
        </w:rPr>
        <w:t>“采购人”名称详见招标文件第一部分。</w:t>
      </w:r>
    </w:p>
    <w:p>
      <w:pPr>
        <w:pStyle w:val="34"/>
        <w:numPr>
          <w:ilvl w:val="1"/>
          <w:numId w:val="2"/>
        </w:numPr>
        <w:snapToGrid w:val="0"/>
        <w:spacing w:line="400" w:lineRule="exact"/>
        <w:rPr>
          <w:rFonts w:cs="微软雅黑"/>
        </w:rPr>
      </w:pPr>
      <w:r>
        <w:rPr>
          <w:rFonts w:hint="eastAsia" w:cs="微软雅黑"/>
        </w:rPr>
        <w:t>“潜在投标人”指符合《中华人民共和国政府采购法》及相关法律法规和本招标文件的各项规定，且按照本项目招标公告及招标文件规定的方式获取招标文件的供应商。</w:t>
      </w:r>
    </w:p>
    <w:p>
      <w:pPr>
        <w:pStyle w:val="34"/>
        <w:numPr>
          <w:ilvl w:val="1"/>
          <w:numId w:val="2"/>
        </w:numPr>
        <w:snapToGrid w:val="0"/>
        <w:spacing w:line="400" w:lineRule="exact"/>
        <w:rPr>
          <w:rFonts w:cs="微软雅黑"/>
        </w:rPr>
      </w:pPr>
      <w:r>
        <w:rPr>
          <w:rFonts w:hint="eastAsia" w:cs="微软雅黑"/>
        </w:rPr>
        <w:t>“投标人”指符合《中华人民共和国政府采购法》及相关法律法规和本招标文件的各项规定，按照本项目招标公告及招标文件规定的方式获取招标文件并参加投标的供应商。</w:t>
      </w:r>
    </w:p>
    <w:p>
      <w:pPr>
        <w:pStyle w:val="34"/>
        <w:numPr>
          <w:ilvl w:val="1"/>
          <w:numId w:val="2"/>
        </w:numPr>
        <w:snapToGrid w:val="0"/>
        <w:spacing w:line="400" w:lineRule="exact"/>
        <w:rPr>
          <w:rFonts w:cs="微软雅黑"/>
        </w:rPr>
      </w:pPr>
      <w:r>
        <w:rPr>
          <w:rFonts w:hint="eastAsia" w:cs="微软雅黑"/>
        </w:rPr>
        <w:t>招标文件中所述的公告发布的指定媒体指中国政府采购网（</w:t>
      </w:r>
      <w:r>
        <w:rPr>
          <w:rFonts w:cs="微软雅黑"/>
        </w:rPr>
        <w:t>http://www.ccgp.gov.cn</w:t>
      </w:r>
      <w:r>
        <w:rPr>
          <w:rFonts w:hint="eastAsia" w:cs="微软雅黑"/>
        </w:rPr>
        <w:t>）及北京市政府采购网（</w:t>
      </w:r>
      <w:r>
        <w:fldChar w:fldCharType="begin"/>
      </w:r>
      <w:r>
        <w:instrText xml:space="preserve"> HYPERLINK "http://www.ccgp-beijing.gov.cn" </w:instrText>
      </w:r>
      <w:r>
        <w:fldChar w:fldCharType="separate"/>
      </w:r>
      <w:r>
        <w:rPr>
          <w:rStyle w:val="23"/>
          <w:rFonts w:cs="微软雅黑"/>
          <w:color w:val="auto"/>
          <w:u w:val="none"/>
        </w:rPr>
        <w:t>http://www.ccgp-beijing.gov.cn</w:t>
      </w:r>
      <w:r>
        <w:rPr>
          <w:rStyle w:val="23"/>
          <w:rFonts w:cs="微软雅黑"/>
          <w:color w:val="auto"/>
          <w:u w:val="none"/>
        </w:rPr>
        <w:fldChar w:fldCharType="end"/>
      </w:r>
      <w:r>
        <w:rPr>
          <w:rFonts w:hint="eastAsia" w:cs="微软雅黑"/>
        </w:rPr>
        <w:t>）。</w:t>
      </w:r>
    </w:p>
    <w:p>
      <w:pPr>
        <w:pStyle w:val="34"/>
        <w:numPr>
          <w:ilvl w:val="1"/>
          <w:numId w:val="2"/>
        </w:numPr>
        <w:snapToGrid w:val="0"/>
        <w:spacing w:line="400" w:lineRule="exact"/>
        <w:rPr>
          <w:rFonts w:cs="微软雅黑"/>
        </w:rPr>
      </w:pPr>
      <w:r>
        <w:rPr>
          <w:rFonts w:hint="eastAsia" w:cs="微软雅黑"/>
        </w:rPr>
        <w:t>本项目需要落实的政府采购政策详见招标文件对应条款。</w:t>
      </w:r>
    </w:p>
    <w:p>
      <w:pPr>
        <w:pStyle w:val="34"/>
        <w:numPr>
          <w:ilvl w:val="1"/>
          <w:numId w:val="2"/>
        </w:numPr>
        <w:snapToGrid w:val="0"/>
        <w:spacing w:line="400" w:lineRule="exact"/>
        <w:rPr>
          <w:rFonts w:cs="微软雅黑"/>
          <w:b/>
          <w:color w:val="FF0000"/>
        </w:rPr>
      </w:pPr>
      <w:r>
        <w:rPr>
          <w:rFonts w:hint="eastAsia" w:cs="微软雅黑"/>
          <w:b/>
          <w:color w:val="FF0000"/>
        </w:rPr>
        <w:t>本项目电子投标各项要求、流程及注意事项已在本招标文件及北京市政府采购电子交易平台相关操作指南和演示视频中进行说明，如投标人未按要求操作导致的投标无效，责任由投标人承担。</w:t>
      </w:r>
    </w:p>
    <w:p>
      <w:pPr>
        <w:pStyle w:val="34"/>
        <w:numPr>
          <w:ilvl w:val="1"/>
          <w:numId w:val="2"/>
        </w:numPr>
        <w:snapToGrid w:val="0"/>
        <w:spacing w:line="400" w:lineRule="exact"/>
        <w:rPr>
          <w:rFonts w:cs="微软雅黑"/>
          <w:b/>
          <w:color w:val="000000"/>
        </w:rPr>
      </w:pPr>
      <w:r>
        <w:rPr>
          <w:rFonts w:hint="eastAsia" w:cs="微软雅黑"/>
          <w:b/>
          <w:color w:val="000000"/>
        </w:rPr>
        <w:t>评审时，采购人和评标委员会保留审核投标人相关电子投标文件原件的权利。</w:t>
      </w:r>
    </w:p>
    <w:p>
      <w:pPr>
        <w:pStyle w:val="34"/>
        <w:numPr>
          <w:ilvl w:val="1"/>
          <w:numId w:val="2"/>
        </w:numPr>
        <w:snapToGrid w:val="0"/>
        <w:spacing w:line="400" w:lineRule="exact"/>
        <w:rPr>
          <w:rFonts w:cs="微软雅黑"/>
        </w:rPr>
      </w:pPr>
      <w:r>
        <w:rPr>
          <w:rFonts w:hint="eastAsia" w:cs="微软雅黑"/>
        </w:rPr>
        <w:t>采购中心对本招标文件的各项条款具有解释权。</w:t>
      </w:r>
    </w:p>
    <w:p>
      <w:pPr>
        <w:pStyle w:val="34"/>
        <w:numPr>
          <w:ilvl w:val="0"/>
          <w:numId w:val="0"/>
        </w:numPr>
        <w:snapToGrid w:val="0"/>
        <w:spacing w:line="400" w:lineRule="exact"/>
        <w:rPr>
          <w:rFonts w:cs="微软雅黑"/>
        </w:rPr>
      </w:pPr>
    </w:p>
    <w:p>
      <w:pPr>
        <w:pStyle w:val="34"/>
        <w:tabs>
          <w:tab w:val="clear" w:pos="709"/>
        </w:tabs>
        <w:spacing w:line="400" w:lineRule="exact"/>
        <w:rPr>
          <w:rFonts w:cs="微软雅黑"/>
        </w:rPr>
      </w:pPr>
      <w:r>
        <w:rPr>
          <w:rFonts w:hint="eastAsia" w:cs="微软雅黑"/>
        </w:rPr>
        <w:t>合格投标人的条件</w:t>
      </w:r>
    </w:p>
    <w:p>
      <w:pPr>
        <w:pStyle w:val="34"/>
        <w:numPr>
          <w:ilvl w:val="1"/>
          <w:numId w:val="2"/>
        </w:numPr>
        <w:snapToGrid w:val="0"/>
        <w:spacing w:line="400" w:lineRule="exact"/>
        <w:rPr>
          <w:rFonts w:cs="微软雅黑"/>
        </w:rPr>
      </w:pPr>
      <w:r>
        <w:rPr>
          <w:rFonts w:hint="eastAsia" w:cs="微软雅黑"/>
        </w:rPr>
        <w:t>在中华人民共和国境内注册，具有本项目生产、制造、供应或实施能力，符合、承认并承诺履行本招标文件各项规定的供应商，包括</w:t>
      </w:r>
      <w:r>
        <w:rPr>
          <w:rFonts w:hint="eastAsia"/>
          <w:color w:val="000000"/>
        </w:rPr>
        <w:t>法人、其他组织或者自然人</w:t>
      </w:r>
      <w:r>
        <w:rPr>
          <w:rFonts w:hint="eastAsia" w:cs="微软雅黑"/>
        </w:rPr>
        <w:t>。</w:t>
      </w:r>
    </w:p>
    <w:p>
      <w:pPr>
        <w:pStyle w:val="34"/>
        <w:numPr>
          <w:ilvl w:val="1"/>
          <w:numId w:val="2"/>
        </w:numPr>
        <w:spacing w:line="400" w:lineRule="exact"/>
        <w:rPr>
          <w:rFonts w:cs="微软雅黑"/>
        </w:rPr>
      </w:pPr>
      <w:r>
        <w:rPr>
          <w:rFonts w:hint="eastAsia" w:cs="微软雅黑"/>
        </w:rPr>
        <w:t>投标人应遵守中华人民共和国有关的国家法律、法规和条例。</w:t>
      </w:r>
    </w:p>
    <w:p>
      <w:pPr>
        <w:pStyle w:val="34"/>
        <w:numPr>
          <w:ilvl w:val="1"/>
          <w:numId w:val="2"/>
        </w:numPr>
        <w:spacing w:line="400" w:lineRule="exact"/>
        <w:rPr>
          <w:rFonts w:cs="微软雅黑"/>
        </w:rPr>
      </w:pPr>
      <w:r>
        <w:rPr>
          <w:rFonts w:hint="eastAsia" w:cs="微软雅黑"/>
        </w:rPr>
        <w:t>投标人应具备《中华人民共和国政府采购法》及相关政府采购法律法规和本招标文件中规定的</w:t>
      </w:r>
      <w:r>
        <w:rPr>
          <w:rFonts w:hint="eastAsia"/>
          <w:color w:val="000000"/>
        </w:rPr>
        <w:t>参加政府采购活动的供应商应当具备的</w:t>
      </w:r>
      <w:r>
        <w:rPr>
          <w:rFonts w:hint="eastAsia" w:cs="微软雅黑"/>
        </w:rPr>
        <w:t>条件：</w:t>
      </w:r>
    </w:p>
    <w:p>
      <w:pPr>
        <w:numPr>
          <w:ilvl w:val="0"/>
          <w:numId w:val="14"/>
        </w:numPr>
        <w:spacing w:line="400" w:lineRule="exact"/>
        <w:rPr>
          <w:rFonts w:ascii="宋体" w:hAnsi="宋体" w:cs="微软雅黑"/>
          <w:sz w:val="21"/>
          <w:szCs w:val="21"/>
        </w:rPr>
      </w:pPr>
      <w:r>
        <w:rPr>
          <w:rFonts w:hint="eastAsia" w:ascii="宋体" w:hAnsi="宋体" w:cs="微软雅黑"/>
          <w:sz w:val="21"/>
          <w:szCs w:val="21"/>
        </w:rPr>
        <w:t>具有独立承担民事责任的能力；</w:t>
      </w:r>
    </w:p>
    <w:p>
      <w:pPr>
        <w:numPr>
          <w:ilvl w:val="0"/>
          <w:numId w:val="14"/>
        </w:numPr>
        <w:spacing w:line="400" w:lineRule="exact"/>
        <w:rPr>
          <w:rFonts w:ascii="宋体" w:hAnsi="宋体" w:cs="微软雅黑"/>
          <w:sz w:val="21"/>
          <w:szCs w:val="21"/>
        </w:rPr>
      </w:pPr>
      <w:r>
        <w:rPr>
          <w:rFonts w:hint="eastAsia" w:ascii="宋体" w:hAnsi="宋体" w:cs="微软雅黑"/>
          <w:sz w:val="21"/>
          <w:szCs w:val="21"/>
        </w:rPr>
        <w:t>具有良好的商业信誉和健全的财务会计制度；</w:t>
      </w:r>
    </w:p>
    <w:p>
      <w:pPr>
        <w:numPr>
          <w:ilvl w:val="0"/>
          <w:numId w:val="14"/>
        </w:numPr>
        <w:spacing w:line="400" w:lineRule="exact"/>
        <w:rPr>
          <w:rFonts w:ascii="宋体" w:hAnsi="宋体" w:cs="微软雅黑"/>
          <w:sz w:val="21"/>
          <w:szCs w:val="21"/>
        </w:rPr>
      </w:pPr>
      <w:r>
        <w:rPr>
          <w:rFonts w:hint="eastAsia" w:ascii="宋体" w:hAnsi="宋体" w:cs="微软雅黑"/>
          <w:sz w:val="21"/>
          <w:szCs w:val="21"/>
        </w:rPr>
        <w:t>具有履行合同所必需的设备和专业技术能力；</w:t>
      </w:r>
    </w:p>
    <w:p>
      <w:pPr>
        <w:numPr>
          <w:ilvl w:val="0"/>
          <w:numId w:val="14"/>
        </w:numPr>
        <w:spacing w:line="400" w:lineRule="exact"/>
        <w:rPr>
          <w:rFonts w:ascii="宋体" w:hAnsi="宋体" w:cs="微软雅黑"/>
          <w:sz w:val="21"/>
          <w:szCs w:val="21"/>
        </w:rPr>
      </w:pPr>
      <w:r>
        <w:rPr>
          <w:rFonts w:hint="eastAsia" w:ascii="宋体" w:hAnsi="宋体" w:cs="微软雅黑"/>
          <w:sz w:val="21"/>
          <w:szCs w:val="21"/>
        </w:rPr>
        <w:t>具有依法缴纳税收和社会保障资金的良好记录；</w:t>
      </w:r>
    </w:p>
    <w:p>
      <w:pPr>
        <w:numPr>
          <w:ilvl w:val="0"/>
          <w:numId w:val="14"/>
        </w:numPr>
        <w:spacing w:line="400" w:lineRule="exact"/>
        <w:rPr>
          <w:rFonts w:ascii="宋体" w:hAnsi="宋体" w:cs="微软雅黑"/>
          <w:sz w:val="21"/>
          <w:szCs w:val="21"/>
        </w:rPr>
      </w:pPr>
      <w:r>
        <w:rPr>
          <w:rFonts w:hint="eastAsia" w:ascii="宋体" w:hAnsi="宋体" w:cs="微软雅黑"/>
          <w:sz w:val="21"/>
          <w:szCs w:val="21"/>
        </w:rPr>
        <w:t>参加此项采购活动前三年内，在经营活动中没有重大违法记录；</w:t>
      </w:r>
    </w:p>
    <w:p>
      <w:pPr>
        <w:numPr>
          <w:ilvl w:val="0"/>
          <w:numId w:val="14"/>
        </w:numPr>
        <w:spacing w:line="400" w:lineRule="exact"/>
        <w:rPr>
          <w:rFonts w:ascii="宋体" w:hAnsi="宋体" w:cs="微软雅黑"/>
          <w:sz w:val="21"/>
          <w:szCs w:val="21"/>
        </w:rPr>
      </w:pPr>
      <w:r>
        <w:rPr>
          <w:rFonts w:hint="eastAsia" w:ascii="宋体" w:hAnsi="宋体" w:cs="微软雅黑"/>
          <w:sz w:val="21"/>
          <w:szCs w:val="21"/>
        </w:rPr>
        <w:t>法律、行政法规规定的其他条件；</w:t>
      </w:r>
    </w:p>
    <w:p>
      <w:pPr>
        <w:numPr>
          <w:ilvl w:val="0"/>
          <w:numId w:val="14"/>
        </w:numPr>
        <w:spacing w:line="400" w:lineRule="exact"/>
        <w:rPr>
          <w:rFonts w:ascii="宋体" w:hAnsi="宋体" w:cs="微软雅黑"/>
          <w:sz w:val="21"/>
          <w:szCs w:val="21"/>
        </w:rPr>
      </w:pPr>
      <w:r>
        <w:rPr>
          <w:rFonts w:hint="eastAsia" w:ascii="宋体" w:hAnsi="宋体" w:cs="微软雅黑"/>
          <w:sz w:val="21"/>
          <w:szCs w:val="21"/>
        </w:rPr>
        <w:t>具有投标人须知前附表</w:t>
      </w:r>
      <w:r>
        <w:rPr>
          <w:rFonts w:hint="eastAsia" w:ascii="宋体" w:hAnsi="宋体" w:cs="微软雅黑"/>
          <w:sz w:val="21"/>
          <w:szCs w:val="21"/>
          <w:u w:val="single"/>
        </w:rPr>
        <w:t>第二条</w:t>
      </w:r>
      <w:r>
        <w:rPr>
          <w:rFonts w:hint="eastAsia" w:ascii="宋体" w:hAnsi="宋体" w:cs="微软雅黑"/>
          <w:sz w:val="21"/>
          <w:szCs w:val="21"/>
        </w:rPr>
        <w:t>规定的其他相关资格条件。</w:t>
      </w:r>
    </w:p>
    <w:p>
      <w:pPr>
        <w:numPr>
          <w:ilvl w:val="1"/>
          <w:numId w:val="2"/>
        </w:numPr>
        <w:rPr>
          <w:rFonts w:ascii="宋体" w:hAnsi="宋体" w:cs="微软雅黑"/>
          <w:sz w:val="21"/>
          <w:szCs w:val="21"/>
        </w:rPr>
      </w:pPr>
      <w:r>
        <w:rPr>
          <w:rFonts w:hint="eastAsia" w:ascii="宋体" w:hAnsi="宋体" w:cs="微软雅黑"/>
          <w:sz w:val="21"/>
          <w:szCs w:val="21"/>
        </w:rPr>
        <w:t>供应商按照规定办理CA数字认证证书（北京一证通数字证书）后，自招标公告发布之日起，在规定的下载时间内持自身数字证书登录北京市政府采购电子交易平台（http://zbcg-bjzc.zhongcy.com/bjczj-portal-site/index.html#/home）免费获取本项目电子版招标文件，否则投标无效。</w:t>
      </w:r>
    </w:p>
    <w:p>
      <w:pPr>
        <w:pStyle w:val="34"/>
        <w:numPr>
          <w:ilvl w:val="1"/>
          <w:numId w:val="2"/>
        </w:numPr>
        <w:snapToGrid w:val="0"/>
        <w:spacing w:line="400" w:lineRule="exact"/>
        <w:rPr>
          <w:rFonts w:cs="微软雅黑"/>
        </w:rPr>
      </w:pPr>
      <w:r>
        <w:rPr>
          <w:rFonts w:hint="eastAsia" w:cs="微软雅黑"/>
        </w:rPr>
        <w:t>单位负责人为同一人或者投标存在直接控股、管理关系的不同供应商，不得同时参加本项目投标。</w:t>
      </w:r>
    </w:p>
    <w:p>
      <w:pPr>
        <w:pStyle w:val="34"/>
        <w:numPr>
          <w:ilvl w:val="1"/>
          <w:numId w:val="2"/>
        </w:numPr>
        <w:snapToGrid w:val="0"/>
        <w:spacing w:line="400" w:lineRule="exact"/>
        <w:rPr>
          <w:rFonts w:cs="微软雅黑"/>
        </w:rPr>
      </w:pPr>
      <w:r>
        <w:rPr>
          <w:rFonts w:hint="eastAsia"/>
        </w:rPr>
        <w:t>为本项目提供整体设计、规范编制或者项目管理、监理、检测等服务的供应商，不得参加本项目投标。</w:t>
      </w:r>
    </w:p>
    <w:p>
      <w:pPr>
        <w:pStyle w:val="34"/>
        <w:numPr>
          <w:ilvl w:val="1"/>
          <w:numId w:val="2"/>
        </w:numPr>
        <w:snapToGrid w:val="0"/>
        <w:spacing w:line="400" w:lineRule="exact"/>
        <w:rPr>
          <w:rFonts w:cs="微软雅黑"/>
        </w:rPr>
      </w:pPr>
      <w:r>
        <w:rPr>
          <w:rFonts w:hint="eastAsia" w:cs="宋体"/>
        </w:rPr>
        <w:t>通过资格预审方式确定合格投标人的项目，资格预审合格的投标人在评审阶段资格发生变化的，应当以书面形式通知采购中心和采购人。</w:t>
      </w:r>
    </w:p>
    <w:p>
      <w:pPr>
        <w:pStyle w:val="34"/>
        <w:numPr>
          <w:ilvl w:val="1"/>
          <w:numId w:val="2"/>
        </w:numPr>
        <w:snapToGrid w:val="0"/>
        <w:spacing w:line="400" w:lineRule="exact"/>
        <w:rPr>
          <w:rFonts w:cs="微软雅黑"/>
        </w:rPr>
      </w:pPr>
      <w:r>
        <w:rPr>
          <w:rFonts w:hint="eastAsia" w:cs="微软雅黑"/>
        </w:rPr>
        <w:t>投标人不得被列入相关部门规定的失信被执行人、重大税收违法案件当事人名单、政府采购严重违法失信行为记录名单。</w:t>
      </w:r>
    </w:p>
    <w:p>
      <w:pPr>
        <w:pStyle w:val="34"/>
        <w:numPr>
          <w:ilvl w:val="1"/>
          <w:numId w:val="2"/>
        </w:numPr>
        <w:snapToGrid w:val="0"/>
        <w:spacing w:line="400" w:lineRule="exact"/>
        <w:rPr>
          <w:rFonts w:cs="微软雅黑"/>
        </w:rPr>
      </w:pPr>
      <w:r>
        <w:rPr>
          <w:rFonts w:hint="eastAsia" w:cs="微软雅黑"/>
        </w:rPr>
        <w:t>以联合体形式参加政府采购活动的，联合体各方不得再单独参加或者与其他供应商另外组成联合体参加同一合同项下的政府采购活动。</w:t>
      </w:r>
    </w:p>
    <w:p>
      <w:pPr>
        <w:pStyle w:val="34"/>
        <w:numPr>
          <w:ilvl w:val="0"/>
          <w:numId w:val="0"/>
        </w:numPr>
        <w:tabs>
          <w:tab w:val="left" w:pos="420"/>
        </w:tabs>
        <w:spacing w:line="400" w:lineRule="exact"/>
        <w:rPr>
          <w:rFonts w:cs="微软雅黑"/>
          <w:color w:val="000000"/>
        </w:rPr>
      </w:pPr>
    </w:p>
    <w:p>
      <w:pPr>
        <w:pStyle w:val="34"/>
        <w:tabs>
          <w:tab w:val="clear" w:pos="709"/>
        </w:tabs>
        <w:spacing w:line="400" w:lineRule="exact"/>
        <w:rPr>
          <w:rFonts w:cs="微软雅黑"/>
          <w:color w:val="000000"/>
        </w:rPr>
      </w:pPr>
      <w:r>
        <w:rPr>
          <w:rFonts w:hint="eastAsia" w:cs="微软雅黑"/>
          <w:color w:val="000000"/>
        </w:rPr>
        <w:t>投标费用</w:t>
      </w:r>
    </w:p>
    <w:p>
      <w:pPr>
        <w:pStyle w:val="34"/>
        <w:numPr>
          <w:ilvl w:val="1"/>
          <w:numId w:val="2"/>
        </w:numPr>
        <w:spacing w:line="400" w:lineRule="exact"/>
        <w:rPr>
          <w:rFonts w:cs="微软雅黑"/>
          <w:color w:val="000000"/>
        </w:rPr>
      </w:pPr>
      <w:r>
        <w:rPr>
          <w:rFonts w:hint="eastAsia" w:cs="微软雅黑"/>
          <w:color w:val="000000"/>
        </w:rPr>
        <w:t>投标人应承担所有与准备和参加投标有关的费用，采购中心和采购人在任何情况下均无义务和责任承担相关费用。</w:t>
      </w:r>
    </w:p>
    <w:p>
      <w:pPr>
        <w:pStyle w:val="34"/>
        <w:numPr>
          <w:ilvl w:val="1"/>
          <w:numId w:val="2"/>
        </w:numPr>
        <w:spacing w:line="400" w:lineRule="exact"/>
        <w:rPr>
          <w:rFonts w:cs="微软雅黑"/>
          <w:color w:val="000000"/>
        </w:rPr>
      </w:pPr>
      <w:r>
        <w:rPr>
          <w:rFonts w:hint="eastAsia" w:cs="微软雅黑"/>
          <w:color w:val="000000"/>
        </w:rPr>
        <w:t>采购中心提供招标文件免费下载，且不收取中标服务费。</w:t>
      </w:r>
    </w:p>
    <w:p>
      <w:pPr>
        <w:pStyle w:val="34"/>
        <w:numPr>
          <w:ilvl w:val="0"/>
          <w:numId w:val="0"/>
        </w:numPr>
        <w:snapToGrid w:val="0"/>
        <w:spacing w:line="400" w:lineRule="exact"/>
        <w:rPr>
          <w:rFonts w:cs="微软雅黑"/>
        </w:rPr>
      </w:pPr>
    </w:p>
    <w:p>
      <w:pPr>
        <w:pStyle w:val="4"/>
        <w:spacing w:before="0" w:after="120" w:line="400" w:lineRule="exact"/>
        <w:ind w:left="238"/>
        <w:rPr>
          <w:rFonts w:ascii="宋体" w:hAnsi="宋体" w:eastAsia="宋体" w:cs="微软雅黑"/>
          <w:bCs w:val="0"/>
          <w:sz w:val="21"/>
          <w:szCs w:val="21"/>
        </w:rPr>
      </w:pPr>
      <w:bookmarkStart w:id="54" w:name="_Toc328815993"/>
      <w:r>
        <w:rPr>
          <w:rFonts w:hint="eastAsia" w:ascii="宋体" w:hAnsi="宋体" w:eastAsia="宋体" w:cs="微软雅黑"/>
          <w:bCs w:val="0"/>
          <w:sz w:val="21"/>
          <w:szCs w:val="21"/>
        </w:rPr>
        <w:t>招标文件</w:t>
      </w:r>
      <w:bookmarkEnd w:id="54"/>
    </w:p>
    <w:p>
      <w:pPr>
        <w:pStyle w:val="34"/>
        <w:tabs>
          <w:tab w:val="clear" w:pos="709"/>
        </w:tabs>
        <w:spacing w:line="400" w:lineRule="exact"/>
        <w:rPr>
          <w:rFonts w:cs="微软雅黑"/>
          <w:color w:val="000000"/>
        </w:rPr>
      </w:pPr>
      <w:r>
        <w:rPr>
          <w:rFonts w:hint="eastAsia" w:cs="微软雅黑"/>
          <w:color w:val="000000"/>
        </w:rPr>
        <w:t>招标文件</w:t>
      </w:r>
    </w:p>
    <w:p>
      <w:pPr>
        <w:pStyle w:val="34"/>
        <w:numPr>
          <w:ilvl w:val="1"/>
          <w:numId w:val="2"/>
        </w:numPr>
        <w:spacing w:line="400" w:lineRule="exact"/>
        <w:rPr>
          <w:rFonts w:cs="微软雅黑"/>
          <w:color w:val="000000"/>
        </w:rPr>
      </w:pPr>
      <w:r>
        <w:rPr>
          <w:rFonts w:hint="eastAsia" w:cs="微软雅黑"/>
          <w:color w:val="000000"/>
        </w:rPr>
        <w:t>招标文件由下列</w:t>
      </w:r>
      <w:r>
        <w:rPr>
          <w:rFonts w:hint="eastAsia" w:cs="微软雅黑"/>
          <w:u w:val="single"/>
        </w:rPr>
        <w:t>七部分</w:t>
      </w:r>
      <w:r>
        <w:rPr>
          <w:rFonts w:hint="eastAsia" w:cs="微软雅黑"/>
        </w:rPr>
        <w:t>内</w:t>
      </w:r>
      <w:r>
        <w:rPr>
          <w:rFonts w:hint="eastAsia" w:cs="微软雅黑"/>
          <w:color w:val="000000"/>
        </w:rPr>
        <w:t>容组成：</w:t>
      </w:r>
    </w:p>
    <w:p>
      <w:pPr>
        <w:spacing w:line="400" w:lineRule="exact"/>
        <w:ind w:firstLine="735" w:firstLineChars="350"/>
        <w:rPr>
          <w:rFonts w:ascii="宋体" w:hAnsi="宋体" w:cs="微软雅黑"/>
          <w:color w:val="000000"/>
          <w:sz w:val="21"/>
          <w:szCs w:val="21"/>
        </w:rPr>
      </w:pPr>
      <w:r>
        <w:rPr>
          <w:rFonts w:hint="eastAsia" w:ascii="宋体" w:hAnsi="宋体" w:cs="微软雅黑"/>
          <w:color w:val="000000"/>
          <w:sz w:val="21"/>
          <w:szCs w:val="21"/>
        </w:rPr>
        <w:t>第一部分 投标邀请；</w:t>
      </w:r>
    </w:p>
    <w:p>
      <w:pPr>
        <w:spacing w:line="400" w:lineRule="exact"/>
        <w:ind w:firstLine="735" w:firstLineChars="350"/>
        <w:rPr>
          <w:rFonts w:ascii="宋体" w:hAnsi="宋体" w:cs="微软雅黑"/>
          <w:color w:val="000000"/>
          <w:sz w:val="21"/>
          <w:szCs w:val="21"/>
        </w:rPr>
      </w:pPr>
      <w:r>
        <w:rPr>
          <w:rFonts w:hint="eastAsia" w:ascii="宋体" w:hAnsi="宋体" w:cs="微软雅黑"/>
          <w:color w:val="000000"/>
          <w:sz w:val="21"/>
          <w:szCs w:val="21"/>
        </w:rPr>
        <w:t>第二部分 投标人须知前附表；</w:t>
      </w:r>
    </w:p>
    <w:p>
      <w:pPr>
        <w:spacing w:line="400" w:lineRule="exact"/>
        <w:ind w:firstLine="735" w:firstLineChars="350"/>
        <w:rPr>
          <w:rFonts w:ascii="宋体" w:hAnsi="宋体" w:cs="微软雅黑"/>
          <w:color w:val="000000"/>
          <w:sz w:val="21"/>
          <w:szCs w:val="21"/>
        </w:rPr>
      </w:pPr>
      <w:r>
        <w:rPr>
          <w:rFonts w:hint="eastAsia" w:ascii="宋体" w:hAnsi="宋体" w:cs="微软雅黑"/>
          <w:color w:val="000000"/>
          <w:sz w:val="21"/>
          <w:szCs w:val="21"/>
        </w:rPr>
        <w:t>第三部分 投标人须知；</w:t>
      </w:r>
    </w:p>
    <w:p>
      <w:pPr>
        <w:spacing w:line="400" w:lineRule="exact"/>
        <w:ind w:firstLine="735" w:firstLineChars="350"/>
        <w:rPr>
          <w:rFonts w:ascii="宋体" w:hAnsi="宋体" w:cs="微软雅黑"/>
          <w:color w:val="000000"/>
          <w:sz w:val="21"/>
          <w:szCs w:val="21"/>
        </w:rPr>
      </w:pPr>
      <w:r>
        <w:rPr>
          <w:rFonts w:hint="eastAsia" w:ascii="宋体" w:hAnsi="宋体" w:cs="微软雅黑"/>
          <w:color w:val="000000"/>
          <w:sz w:val="21"/>
          <w:szCs w:val="21"/>
        </w:rPr>
        <w:t xml:space="preserve">第四部分 </w:t>
      </w:r>
      <w:r>
        <w:rPr>
          <w:rFonts w:hint="eastAsia" w:ascii="宋体" w:hAnsi="宋体" w:cs="微软雅黑"/>
          <w:sz w:val="21"/>
          <w:szCs w:val="21"/>
        </w:rPr>
        <w:t>采购需求</w:t>
      </w:r>
      <w:r>
        <w:rPr>
          <w:rFonts w:hint="eastAsia" w:ascii="宋体" w:hAnsi="宋体" w:cs="微软雅黑"/>
          <w:color w:val="000000"/>
          <w:sz w:val="21"/>
          <w:szCs w:val="21"/>
        </w:rPr>
        <w:t>；</w:t>
      </w:r>
    </w:p>
    <w:p>
      <w:pPr>
        <w:spacing w:line="400" w:lineRule="exact"/>
        <w:ind w:firstLine="735" w:firstLineChars="350"/>
        <w:rPr>
          <w:rFonts w:ascii="宋体" w:hAnsi="宋体" w:cs="微软雅黑"/>
          <w:sz w:val="21"/>
          <w:szCs w:val="21"/>
        </w:rPr>
      </w:pPr>
      <w:r>
        <w:rPr>
          <w:rFonts w:hint="eastAsia" w:ascii="宋体" w:hAnsi="宋体" w:cs="微软雅黑"/>
          <w:color w:val="000000"/>
          <w:sz w:val="21"/>
          <w:szCs w:val="21"/>
        </w:rPr>
        <w:t>第五部分</w:t>
      </w:r>
      <w:r>
        <w:rPr>
          <w:rFonts w:hint="eastAsia" w:ascii="宋体" w:hAnsi="宋体" w:cs="微软雅黑"/>
          <w:sz w:val="21"/>
          <w:szCs w:val="21"/>
        </w:rPr>
        <w:t xml:space="preserve"> </w:t>
      </w:r>
      <w:r>
        <w:rPr>
          <w:rFonts w:hint="eastAsia" w:ascii="宋体" w:hAnsi="宋体" w:cs="微软雅黑"/>
          <w:color w:val="000000"/>
          <w:sz w:val="21"/>
          <w:szCs w:val="21"/>
        </w:rPr>
        <w:t>评标标准和评标方法；</w:t>
      </w:r>
    </w:p>
    <w:p>
      <w:pPr>
        <w:spacing w:line="400" w:lineRule="exact"/>
        <w:ind w:firstLine="735" w:firstLineChars="350"/>
        <w:rPr>
          <w:rFonts w:ascii="宋体" w:hAnsi="宋体" w:cs="微软雅黑"/>
          <w:sz w:val="21"/>
          <w:szCs w:val="21"/>
        </w:rPr>
      </w:pPr>
      <w:r>
        <w:rPr>
          <w:rFonts w:hint="eastAsia" w:ascii="宋体" w:hAnsi="宋体" w:cs="微软雅黑"/>
          <w:sz w:val="21"/>
          <w:szCs w:val="21"/>
        </w:rPr>
        <w:t>第六部分 政府采购合同；</w:t>
      </w:r>
    </w:p>
    <w:p>
      <w:pPr>
        <w:spacing w:line="400" w:lineRule="exact"/>
        <w:ind w:firstLine="735" w:firstLineChars="350"/>
        <w:rPr>
          <w:rFonts w:ascii="宋体" w:hAnsi="宋体" w:cs="微软雅黑"/>
          <w:color w:val="000000"/>
          <w:sz w:val="21"/>
          <w:szCs w:val="21"/>
        </w:rPr>
      </w:pPr>
      <w:r>
        <w:rPr>
          <w:rFonts w:hint="eastAsia" w:ascii="宋体" w:hAnsi="宋体" w:cs="微软雅黑"/>
          <w:color w:val="000000"/>
          <w:sz w:val="21"/>
          <w:szCs w:val="21"/>
        </w:rPr>
        <w:t>第七部分 电子投标文件格式。</w:t>
      </w:r>
    </w:p>
    <w:p>
      <w:pPr>
        <w:spacing w:line="400" w:lineRule="exact"/>
        <w:ind w:left="718" w:hanging="718" w:hangingChars="342"/>
        <w:rPr>
          <w:rFonts w:ascii="宋体" w:hAnsi="宋体" w:cs="微软雅黑"/>
          <w:color w:val="000000"/>
          <w:sz w:val="21"/>
          <w:szCs w:val="21"/>
        </w:rPr>
      </w:pPr>
    </w:p>
    <w:p>
      <w:pPr>
        <w:pStyle w:val="34"/>
        <w:tabs>
          <w:tab w:val="clear" w:pos="709"/>
        </w:tabs>
        <w:snapToGrid w:val="0"/>
        <w:spacing w:line="400" w:lineRule="exact"/>
        <w:rPr>
          <w:rFonts w:cs="微软雅黑"/>
        </w:rPr>
      </w:pPr>
      <w:r>
        <w:rPr>
          <w:rFonts w:hint="eastAsia" w:cs="微软雅黑"/>
        </w:rPr>
        <w:t>投标前招标文件的澄清和修改</w:t>
      </w:r>
    </w:p>
    <w:p>
      <w:pPr>
        <w:pStyle w:val="34"/>
        <w:numPr>
          <w:ilvl w:val="1"/>
          <w:numId w:val="2"/>
        </w:numPr>
        <w:spacing w:line="400" w:lineRule="exact"/>
        <w:rPr>
          <w:rFonts w:cs="微软雅黑"/>
        </w:rPr>
      </w:pPr>
      <w:r>
        <w:rPr>
          <w:rFonts w:hint="eastAsia" w:cs="微软雅黑"/>
        </w:rPr>
        <w:t>任何已按规定程序下载招标文件的潜在投标人，均可要求对招标文件进行澄清或修改。</w:t>
      </w:r>
    </w:p>
    <w:p>
      <w:pPr>
        <w:pStyle w:val="34"/>
        <w:numPr>
          <w:ilvl w:val="1"/>
          <w:numId w:val="2"/>
        </w:numPr>
        <w:spacing w:line="400" w:lineRule="exact"/>
        <w:rPr>
          <w:rFonts w:cs="微软雅黑"/>
        </w:rPr>
      </w:pPr>
      <w:r>
        <w:rPr>
          <w:rFonts w:cs="微软雅黑"/>
        </w:rPr>
        <w:t>采购人或者</w:t>
      </w:r>
      <w:r>
        <w:rPr>
          <w:rFonts w:hint="eastAsia" w:cs="微软雅黑"/>
        </w:rPr>
        <w:t>采购中心</w:t>
      </w:r>
      <w:r>
        <w:rPr>
          <w:rFonts w:cs="微软雅黑"/>
        </w:rPr>
        <w:t>可以对已发出的招标文件、投标邀请书进行必要的澄清或者修改。澄清或者修改的内容为招标文件、投标邀请书的组成部分。</w:t>
      </w:r>
    </w:p>
    <w:p>
      <w:pPr>
        <w:pStyle w:val="34"/>
        <w:numPr>
          <w:ilvl w:val="1"/>
          <w:numId w:val="2"/>
        </w:numPr>
        <w:spacing w:line="400" w:lineRule="exact"/>
        <w:rPr>
          <w:rFonts w:cs="微软雅黑"/>
        </w:rPr>
      </w:pPr>
      <w:r>
        <w:rPr>
          <w:rFonts w:cs="微软雅黑"/>
        </w:rPr>
        <w:t>澄清或者修改的内容可能影响投标文件编制的，应当在投标截止时间至少15日前，</w:t>
      </w:r>
      <w:r>
        <w:rPr>
          <w:rFonts w:hint="eastAsia" w:cs="微软雅黑"/>
        </w:rPr>
        <w:t>在采购中心网站及本项目招标公告发布的指定媒体上以公告的形式通知下载招标文件的潜在投标人，不足15日的，</w:t>
      </w:r>
      <w:r>
        <w:rPr>
          <w:rFonts w:cs="微软雅黑"/>
        </w:rPr>
        <w:t>应当顺延提交投标文件的截止时间</w:t>
      </w:r>
      <w:r>
        <w:rPr>
          <w:rFonts w:hint="eastAsia" w:cs="微软雅黑"/>
        </w:rPr>
        <w:t>。</w:t>
      </w:r>
    </w:p>
    <w:p>
      <w:pPr>
        <w:pStyle w:val="34"/>
        <w:numPr>
          <w:ilvl w:val="0"/>
          <w:numId w:val="0"/>
        </w:numPr>
        <w:spacing w:line="400" w:lineRule="exact"/>
        <w:ind w:left="709"/>
        <w:rPr>
          <w:rFonts w:cs="微软雅黑"/>
        </w:rPr>
      </w:pPr>
    </w:p>
    <w:p>
      <w:pPr>
        <w:pStyle w:val="4"/>
        <w:spacing w:before="0" w:after="120" w:line="400" w:lineRule="exact"/>
        <w:ind w:left="238"/>
        <w:rPr>
          <w:rFonts w:ascii="宋体" w:hAnsi="宋体" w:eastAsia="宋体" w:cs="微软雅黑"/>
          <w:bCs w:val="0"/>
          <w:sz w:val="21"/>
          <w:szCs w:val="21"/>
        </w:rPr>
      </w:pPr>
      <w:bookmarkStart w:id="55" w:name="_Toc328815994"/>
      <w:r>
        <w:rPr>
          <w:rFonts w:hint="eastAsia" w:ascii="宋体" w:hAnsi="宋体" w:eastAsia="宋体" w:cs="微软雅黑"/>
          <w:bCs w:val="0"/>
          <w:sz w:val="21"/>
          <w:szCs w:val="21"/>
        </w:rPr>
        <w:t>电子投标文件</w:t>
      </w:r>
      <w:bookmarkEnd w:id="55"/>
      <w:r>
        <w:rPr>
          <w:rFonts w:hint="eastAsia" w:ascii="宋体" w:hAnsi="宋体" w:eastAsia="宋体" w:cs="微软雅黑"/>
          <w:bCs w:val="0"/>
          <w:sz w:val="21"/>
          <w:szCs w:val="21"/>
        </w:rPr>
        <w:t xml:space="preserve">     </w:t>
      </w:r>
    </w:p>
    <w:p>
      <w:pPr>
        <w:pStyle w:val="34"/>
        <w:tabs>
          <w:tab w:val="clear" w:pos="709"/>
        </w:tabs>
        <w:spacing w:line="400" w:lineRule="exact"/>
        <w:rPr>
          <w:rFonts w:cs="微软雅黑"/>
          <w:color w:val="000000"/>
        </w:rPr>
      </w:pPr>
      <w:r>
        <w:rPr>
          <w:rFonts w:hint="eastAsia"/>
        </w:rPr>
        <w:t>投标范围、电子</w:t>
      </w:r>
      <w:r>
        <w:rPr>
          <w:rFonts w:hint="eastAsia" w:cs="微软雅黑"/>
          <w:color w:val="000000"/>
        </w:rPr>
        <w:t>投标文件的语言和计量单位</w:t>
      </w:r>
    </w:p>
    <w:p>
      <w:pPr>
        <w:pStyle w:val="34"/>
        <w:numPr>
          <w:ilvl w:val="1"/>
          <w:numId w:val="2"/>
        </w:numPr>
        <w:snapToGrid w:val="0"/>
        <w:spacing w:line="400" w:lineRule="exact"/>
        <w:rPr>
          <w:rFonts w:cs="微软雅黑"/>
        </w:rPr>
      </w:pPr>
      <w:r>
        <w:rPr>
          <w:rFonts w:hint="eastAsia"/>
        </w:rPr>
        <w:t>投标人可以对招标文件的其中一包或几包或全部包进行投标，但投标报价须包含一包中采购清单及采购需求中所列的全部内容，不得将一包中的内容拆开投标，拆开投标的，作无效投标处理。</w:t>
      </w:r>
    </w:p>
    <w:p>
      <w:pPr>
        <w:pStyle w:val="34"/>
        <w:numPr>
          <w:ilvl w:val="1"/>
          <w:numId w:val="2"/>
        </w:numPr>
        <w:snapToGrid w:val="0"/>
        <w:spacing w:line="400" w:lineRule="exact"/>
        <w:rPr>
          <w:rFonts w:cs="微软雅黑"/>
        </w:rPr>
      </w:pPr>
      <w:r>
        <w:rPr>
          <w:rFonts w:hint="eastAsia" w:cs="微软雅黑"/>
        </w:rPr>
        <w:t>投标人提交的电子投标文件（包括技术文件和资料、图纸中的说明）以及投标人与采购中心就有关投标的所有来往函电均应使用中文简体字。</w:t>
      </w:r>
    </w:p>
    <w:p>
      <w:pPr>
        <w:pStyle w:val="34"/>
        <w:numPr>
          <w:ilvl w:val="1"/>
          <w:numId w:val="2"/>
        </w:numPr>
        <w:snapToGrid w:val="0"/>
        <w:spacing w:line="400" w:lineRule="exact"/>
        <w:rPr>
          <w:rFonts w:cs="微软雅黑"/>
        </w:rPr>
      </w:pPr>
      <w:r>
        <w:rPr>
          <w:rFonts w:hint="eastAsia" w:cs="微软雅黑"/>
        </w:rPr>
        <w:t>电子投标文件所使用的计量单位，应使用国家法定计量单位。</w:t>
      </w:r>
    </w:p>
    <w:p>
      <w:pPr>
        <w:spacing w:line="400" w:lineRule="exact"/>
        <w:rPr>
          <w:rFonts w:ascii="宋体" w:hAnsi="宋体" w:cs="微软雅黑"/>
          <w:color w:val="000000"/>
          <w:sz w:val="21"/>
          <w:szCs w:val="21"/>
        </w:rPr>
      </w:pPr>
    </w:p>
    <w:p>
      <w:pPr>
        <w:pStyle w:val="34"/>
        <w:tabs>
          <w:tab w:val="clear" w:pos="709"/>
        </w:tabs>
        <w:snapToGrid w:val="0"/>
        <w:spacing w:line="400" w:lineRule="exact"/>
        <w:rPr>
          <w:rFonts w:cs="微软雅黑"/>
        </w:rPr>
      </w:pPr>
      <w:r>
        <w:rPr>
          <w:rFonts w:hint="eastAsia" w:cs="微软雅黑"/>
        </w:rPr>
        <w:t>电子投标文件的组成及相关内容要求</w:t>
      </w:r>
    </w:p>
    <w:p>
      <w:pPr>
        <w:pStyle w:val="34"/>
        <w:numPr>
          <w:ilvl w:val="1"/>
          <w:numId w:val="2"/>
        </w:numPr>
        <w:spacing w:line="400" w:lineRule="exact"/>
        <w:rPr>
          <w:rFonts w:cs="微软雅黑"/>
          <w:color w:val="000000"/>
        </w:rPr>
      </w:pPr>
      <w:r>
        <w:rPr>
          <w:rFonts w:hint="eastAsia" w:cs="微软雅黑"/>
          <w:color w:val="000000"/>
        </w:rPr>
        <w:t>投标人应详细阅读招标文件的全部内容。招标文件中所有带*条款均为实质性响应条款，电子投标文件须完全响应，未实质响应的，作无效投标处理。</w:t>
      </w:r>
    </w:p>
    <w:p>
      <w:pPr>
        <w:pStyle w:val="34"/>
        <w:numPr>
          <w:ilvl w:val="1"/>
          <w:numId w:val="2"/>
        </w:numPr>
        <w:snapToGrid w:val="0"/>
        <w:spacing w:line="400" w:lineRule="exact"/>
        <w:rPr>
          <w:rFonts w:cs="微软雅黑"/>
        </w:rPr>
      </w:pPr>
      <w:r>
        <w:rPr>
          <w:rFonts w:hint="eastAsia" w:cs="微软雅黑"/>
        </w:rPr>
        <w:t>电子投标文件由资格证明文件和技术文件组成。</w:t>
      </w:r>
    </w:p>
    <w:p>
      <w:pPr>
        <w:snapToGrid w:val="0"/>
        <w:spacing w:line="400" w:lineRule="exact"/>
        <w:ind w:left="720" w:leftChars="300"/>
        <w:rPr>
          <w:rFonts w:ascii="宋体" w:hAnsi="宋体" w:cs="微软雅黑"/>
          <w:sz w:val="21"/>
          <w:szCs w:val="21"/>
        </w:rPr>
      </w:pPr>
      <w:r>
        <w:rPr>
          <w:rFonts w:hint="eastAsia" w:ascii="宋体" w:hAnsi="宋体" w:cs="微软雅黑"/>
          <w:sz w:val="21"/>
          <w:szCs w:val="21"/>
        </w:rPr>
        <w:t>资格证明文件指投标人提交的证明其有资格参加投标和中标后有能力履行合同的文件。技术文件指投标人提交的能够证明投标人提供的货物及服务符合招标文件规定的文件。本次招标，投标人应按投标人须知前附表</w:t>
      </w:r>
      <w:r>
        <w:rPr>
          <w:rFonts w:hint="eastAsia" w:ascii="宋体" w:hAnsi="宋体" w:cs="微软雅黑"/>
          <w:sz w:val="21"/>
          <w:szCs w:val="21"/>
          <w:u w:val="single"/>
        </w:rPr>
        <w:t>第二至三条</w:t>
      </w:r>
      <w:r>
        <w:rPr>
          <w:rFonts w:hint="eastAsia" w:ascii="宋体" w:hAnsi="宋体" w:cs="微软雅黑"/>
          <w:sz w:val="21"/>
          <w:szCs w:val="21"/>
        </w:rPr>
        <w:t>规定提交资格证明文件、技术文件和需要投标人自行编写的其他文件（有格式要求的详见招标文件</w:t>
      </w:r>
      <w:r>
        <w:rPr>
          <w:rFonts w:hint="eastAsia" w:ascii="宋体" w:hAnsi="宋体" w:cs="微软雅黑"/>
          <w:sz w:val="21"/>
          <w:szCs w:val="21"/>
          <w:u w:val="single"/>
        </w:rPr>
        <w:t>第七部分 投标文件格式</w:t>
      </w:r>
      <w:r>
        <w:rPr>
          <w:rFonts w:hint="eastAsia" w:ascii="宋体" w:hAnsi="宋体" w:cs="微软雅黑"/>
          <w:sz w:val="21"/>
          <w:szCs w:val="21"/>
        </w:rPr>
        <w:t>）。上述的相关文件，可以是文字资料、图纸和数据。</w:t>
      </w:r>
    </w:p>
    <w:p>
      <w:pPr>
        <w:pStyle w:val="34"/>
        <w:numPr>
          <w:ilvl w:val="1"/>
          <w:numId w:val="2"/>
        </w:numPr>
        <w:snapToGrid w:val="0"/>
        <w:spacing w:line="400" w:lineRule="exact"/>
        <w:rPr>
          <w:rFonts w:cs="微软雅黑"/>
        </w:rPr>
      </w:pPr>
      <w:r>
        <w:rPr>
          <w:rFonts w:hint="eastAsia" w:cs="微软雅黑"/>
        </w:rPr>
        <w:t>电子投标文件按照招标文件</w:t>
      </w:r>
      <w:r>
        <w:rPr>
          <w:rFonts w:hint="eastAsia" w:cs="微软雅黑"/>
          <w:u w:val="single"/>
        </w:rPr>
        <w:t>第二部分 投标人须知前附表及第七部分 投标文件格式</w:t>
      </w:r>
      <w:r>
        <w:rPr>
          <w:rFonts w:hint="eastAsia" w:cs="微软雅黑"/>
        </w:rPr>
        <w:t>及北京市政府采购电子交易平台中规定的顺序和格式，分别制作上传提交。</w:t>
      </w:r>
    </w:p>
    <w:p>
      <w:pPr>
        <w:pStyle w:val="34"/>
        <w:numPr>
          <w:ilvl w:val="1"/>
          <w:numId w:val="2"/>
        </w:numPr>
        <w:spacing w:line="400" w:lineRule="exact"/>
        <w:rPr>
          <w:rFonts w:cs="微软雅黑"/>
        </w:rPr>
      </w:pPr>
      <w:r>
        <w:rPr>
          <w:rFonts w:hint="eastAsia" w:cs="微软雅黑"/>
        </w:rPr>
        <w:t>对于招标文件中提及的复印件要求，照片件、扫描件、影印件、截图件等与其具有同等效力。</w:t>
      </w:r>
    </w:p>
    <w:p>
      <w:pPr>
        <w:pStyle w:val="34"/>
        <w:numPr>
          <w:ilvl w:val="1"/>
          <w:numId w:val="2"/>
        </w:numPr>
        <w:spacing w:line="400" w:lineRule="exact"/>
        <w:rPr>
          <w:rFonts w:cs="微软雅黑"/>
          <w:color w:val="000000"/>
        </w:rPr>
      </w:pPr>
      <w:r>
        <w:rPr>
          <w:rFonts w:hint="eastAsia" w:cs="微软雅黑"/>
          <w:color w:val="000000"/>
        </w:rPr>
        <w:t>电子投标文件中所提供的资料均应真实有效，无效的文件视为未提供。</w:t>
      </w:r>
    </w:p>
    <w:p>
      <w:pPr>
        <w:pStyle w:val="34"/>
        <w:numPr>
          <w:ilvl w:val="0"/>
          <w:numId w:val="0"/>
        </w:numPr>
        <w:spacing w:line="400" w:lineRule="exact"/>
        <w:ind w:left="709"/>
        <w:rPr>
          <w:rFonts w:cs="微软雅黑"/>
        </w:rPr>
      </w:pPr>
    </w:p>
    <w:p>
      <w:pPr>
        <w:pStyle w:val="34"/>
        <w:tabs>
          <w:tab w:val="clear" w:pos="709"/>
        </w:tabs>
        <w:snapToGrid w:val="0"/>
        <w:spacing w:line="400" w:lineRule="exact"/>
        <w:rPr>
          <w:rFonts w:cs="微软雅黑"/>
        </w:rPr>
      </w:pPr>
      <w:r>
        <w:rPr>
          <w:rFonts w:hint="eastAsia" w:cs="微软雅黑"/>
        </w:rPr>
        <w:t>投标报价</w:t>
      </w:r>
    </w:p>
    <w:p>
      <w:pPr>
        <w:numPr>
          <w:ilvl w:val="0"/>
          <w:numId w:val="15"/>
        </w:numPr>
        <w:snapToGrid w:val="0"/>
        <w:spacing w:line="400" w:lineRule="exact"/>
        <w:rPr>
          <w:rFonts w:ascii="宋体" w:hAnsi="宋体" w:cs="微软雅黑"/>
          <w:sz w:val="21"/>
          <w:szCs w:val="21"/>
        </w:rPr>
      </w:pPr>
      <w:r>
        <w:rPr>
          <w:rFonts w:hint="eastAsia" w:ascii="宋体" w:hAnsi="宋体" w:cs="微软雅黑"/>
          <w:sz w:val="21"/>
          <w:szCs w:val="21"/>
        </w:rPr>
        <w:t>所有投标报价无特殊要求的均以人民币元为计算单位。</w:t>
      </w:r>
    </w:p>
    <w:p>
      <w:pPr>
        <w:numPr>
          <w:ilvl w:val="0"/>
          <w:numId w:val="15"/>
        </w:numPr>
        <w:snapToGrid w:val="0"/>
        <w:spacing w:line="400" w:lineRule="exact"/>
        <w:rPr>
          <w:rFonts w:ascii="宋体" w:hAnsi="宋体" w:cs="微软雅黑"/>
          <w:b/>
          <w:sz w:val="21"/>
          <w:szCs w:val="21"/>
        </w:rPr>
      </w:pPr>
      <w:r>
        <w:rPr>
          <w:rFonts w:hint="eastAsia" w:ascii="宋体" w:hAnsi="宋体" w:cs="微软雅黑"/>
          <w:b/>
          <w:sz w:val="21"/>
          <w:szCs w:val="21"/>
        </w:rPr>
        <w:t>采购人不得向供应商索要或者接受其给予的赠品、回扣或者与采购无关的其他商品、服务。</w:t>
      </w:r>
    </w:p>
    <w:p>
      <w:pPr>
        <w:numPr>
          <w:ilvl w:val="0"/>
          <w:numId w:val="15"/>
        </w:numPr>
        <w:snapToGrid w:val="0"/>
        <w:spacing w:line="400" w:lineRule="exact"/>
        <w:rPr>
          <w:rFonts w:ascii="宋体" w:hAnsi="宋体" w:cs="微软雅黑"/>
          <w:b/>
          <w:sz w:val="21"/>
          <w:szCs w:val="21"/>
        </w:rPr>
      </w:pPr>
      <w:r>
        <w:rPr>
          <w:rFonts w:hint="eastAsia" w:ascii="宋体" w:hAnsi="宋体" w:cs="微软雅黑"/>
          <w:b/>
          <w:sz w:val="21"/>
          <w:szCs w:val="21"/>
        </w:rPr>
        <w:t>请投标人根据采购需求在电子投标制作工具客户端填报投标一览表，填报的投标总价不得为零、为空，否则作无效电子投标文件处理。</w:t>
      </w:r>
    </w:p>
    <w:p>
      <w:pPr>
        <w:numPr>
          <w:ilvl w:val="0"/>
          <w:numId w:val="15"/>
        </w:numPr>
        <w:snapToGrid w:val="0"/>
        <w:spacing w:line="400" w:lineRule="exact"/>
        <w:rPr>
          <w:rFonts w:ascii="宋体" w:hAnsi="宋体" w:cs="微软雅黑"/>
          <w:sz w:val="21"/>
          <w:szCs w:val="21"/>
        </w:rPr>
      </w:pPr>
      <w:r>
        <w:rPr>
          <w:rFonts w:hint="eastAsia" w:ascii="宋体" w:hAnsi="宋体" w:cs="微软雅黑"/>
          <w:sz w:val="21"/>
          <w:szCs w:val="21"/>
        </w:rPr>
        <w:t>本项目所涉及的运输、施工、安装、集成、测评、测试、调试、验收、培训、备品和工具、保险、售后服务、税款、质检、行政许可及相关证书等费用均包含在投标报价中。</w:t>
      </w:r>
    </w:p>
    <w:p>
      <w:pPr>
        <w:numPr>
          <w:ilvl w:val="0"/>
          <w:numId w:val="15"/>
        </w:numPr>
        <w:snapToGrid w:val="0"/>
        <w:spacing w:line="400" w:lineRule="exact"/>
        <w:rPr>
          <w:rFonts w:ascii="宋体" w:hAnsi="宋体" w:cs="微软雅黑"/>
          <w:sz w:val="21"/>
          <w:szCs w:val="21"/>
        </w:rPr>
      </w:pPr>
      <w:r>
        <w:rPr>
          <w:rFonts w:hint="eastAsia" w:ascii="宋体" w:hAnsi="宋体" w:cs="微软雅黑"/>
          <w:bCs/>
          <w:sz w:val="21"/>
          <w:szCs w:val="21"/>
        </w:rPr>
        <w:t>本次招标不接受可选择或可调整的投标方案和报价，任何有选择的或可调整的投标方案和报价将被视为非实质性响应投标而作无效投标处理。</w:t>
      </w:r>
    </w:p>
    <w:p>
      <w:pPr>
        <w:numPr>
          <w:ilvl w:val="0"/>
          <w:numId w:val="15"/>
        </w:numPr>
        <w:snapToGrid w:val="0"/>
        <w:spacing w:line="400" w:lineRule="exact"/>
        <w:rPr>
          <w:rFonts w:ascii="宋体" w:hAnsi="宋体" w:cs="微软雅黑"/>
          <w:bCs/>
          <w:sz w:val="21"/>
          <w:szCs w:val="21"/>
        </w:rPr>
      </w:pPr>
      <w:r>
        <w:rPr>
          <w:rFonts w:hint="eastAsia" w:ascii="宋体" w:hAnsi="宋体" w:cs="微软雅黑"/>
          <w:b/>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15"/>
        </w:numPr>
        <w:snapToGrid w:val="0"/>
        <w:spacing w:line="400" w:lineRule="exact"/>
        <w:rPr>
          <w:rFonts w:ascii="宋体" w:hAnsi="宋体" w:cs="微软雅黑"/>
          <w:bCs/>
          <w:sz w:val="21"/>
          <w:szCs w:val="21"/>
        </w:rPr>
      </w:pPr>
      <w:r>
        <w:rPr>
          <w:rFonts w:hint="eastAsia" w:ascii="宋体" w:hAnsi="宋体" w:cs="微软雅黑"/>
          <w:bCs/>
          <w:sz w:val="21"/>
          <w:szCs w:val="21"/>
        </w:rPr>
        <w:t>最低报价不能作为中标的保证。</w:t>
      </w:r>
    </w:p>
    <w:p>
      <w:pPr>
        <w:tabs>
          <w:tab w:val="left" w:pos="1200"/>
        </w:tabs>
        <w:snapToGrid w:val="0"/>
        <w:spacing w:line="400" w:lineRule="exact"/>
        <w:ind w:left="480"/>
        <w:rPr>
          <w:rFonts w:ascii="宋体" w:hAnsi="宋体" w:cs="微软雅黑"/>
          <w:bCs/>
          <w:sz w:val="21"/>
          <w:szCs w:val="21"/>
        </w:rPr>
      </w:pPr>
    </w:p>
    <w:p>
      <w:pPr>
        <w:pStyle w:val="34"/>
        <w:tabs>
          <w:tab w:val="clear" w:pos="709"/>
        </w:tabs>
        <w:spacing w:line="400" w:lineRule="exact"/>
        <w:rPr>
          <w:rFonts w:cs="微软雅黑"/>
          <w:color w:val="000000"/>
        </w:rPr>
      </w:pPr>
      <w:r>
        <w:rPr>
          <w:rFonts w:hint="eastAsia" w:cs="微软雅黑"/>
          <w:color w:val="000000"/>
        </w:rPr>
        <w:t>电子投标文件的有效期</w:t>
      </w:r>
    </w:p>
    <w:p>
      <w:pPr>
        <w:pStyle w:val="34"/>
        <w:numPr>
          <w:ilvl w:val="1"/>
          <w:numId w:val="2"/>
        </w:numPr>
        <w:spacing w:line="400" w:lineRule="exact"/>
        <w:rPr>
          <w:rFonts w:cs="微软雅黑"/>
        </w:rPr>
      </w:pPr>
      <w:r>
        <w:rPr>
          <w:rFonts w:hint="eastAsia" w:cs="微软雅黑"/>
          <w:color w:val="000000"/>
        </w:rPr>
        <w:t>本项目电子投标文件的有效期详见投标人须知前附</w:t>
      </w:r>
      <w:r>
        <w:rPr>
          <w:rFonts w:hint="eastAsia" w:cs="微软雅黑"/>
        </w:rPr>
        <w:t>表</w:t>
      </w:r>
      <w:r>
        <w:rPr>
          <w:rFonts w:hint="eastAsia" w:cs="微软雅黑"/>
          <w:u w:val="single"/>
        </w:rPr>
        <w:t>第十二条</w:t>
      </w:r>
      <w:r>
        <w:rPr>
          <w:rFonts w:hint="eastAsia" w:cs="微软雅黑"/>
          <w:color w:val="000000"/>
        </w:rPr>
        <w:t>。有效期短于该规定期限</w:t>
      </w:r>
      <w:r>
        <w:rPr>
          <w:rFonts w:hint="eastAsia" w:cs="微软雅黑"/>
        </w:rPr>
        <w:t>的投标作无效投标处理。</w:t>
      </w:r>
    </w:p>
    <w:p>
      <w:pPr>
        <w:pStyle w:val="34"/>
        <w:numPr>
          <w:ilvl w:val="1"/>
          <w:numId w:val="2"/>
        </w:numPr>
        <w:spacing w:line="400" w:lineRule="exact"/>
        <w:rPr>
          <w:rFonts w:cs="微软雅黑"/>
          <w:color w:val="000000"/>
        </w:rPr>
      </w:pPr>
      <w:r>
        <w:rPr>
          <w:rFonts w:hint="eastAsia" w:cs="微软雅黑"/>
          <w:color w:val="000000"/>
        </w:rPr>
        <w:t>采购中心可根据实际情况，在原投标有效期截止之前，征询投标人是否同意延长电子投标文件的有效期，投标人同意延长的须作出书面声明。在延长的投标有效期内，投标人将不会被要求和允许修正其投标。</w:t>
      </w:r>
    </w:p>
    <w:p>
      <w:pPr>
        <w:spacing w:line="400" w:lineRule="exact"/>
        <w:ind w:left="718" w:hanging="718" w:hangingChars="342"/>
        <w:rPr>
          <w:rFonts w:ascii="宋体" w:hAnsi="宋体" w:cs="微软雅黑"/>
          <w:color w:val="000000"/>
          <w:sz w:val="21"/>
          <w:szCs w:val="21"/>
        </w:rPr>
      </w:pPr>
    </w:p>
    <w:p>
      <w:pPr>
        <w:pStyle w:val="34"/>
        <w:tabs>
          <w:tab w:val="clear" w:pos="709"/>
        </w:tabs>
        <w:spacing w:line="400" w:lineRule="exact"/>
        <w:rPr>
          <w:rFonts w:cs="微软雅黑"/>
          <w:color w:val="000000"/>
        </w:rPr>
      </w:pPr>
      <w:r>
        <w:rPr>
          <w:rFonts w:hint="eastAsia" w:cs="微软雅黑"/>
          <w:color w:val="000000"/>
        </w:rPr>
        <w:t>电子投标文件的签署及盖章规定</w:t>
      </w:r>
    </w:p>
    <w:p>
      <w:pPr>
        <w:pStyle w:val="34"/>
        <w:numPr>
          <w:ilvl w:val="1"/>
          <w:numId w:val="2"/>
        </w:numPr>
        <w:spacing w:line="400" w:lineRule="exact"/>
        <w:rPr>
          <w:rFonts w:cs="微软雅黑"/>
          <w:color w:val="000000"/>
        </w:rPr>
      </w:pPr>
      <w:r>
        <w:rPr>
          <w:rFonts w:hint="eastAsia" w:cs="微软雅黑"/>
          <w:color w:val="000000"/>
        </w:rPr>
        <w:t>组成电子投标文件的各项文件均应遵守本条。</w:t>
      </w:r>
    </w:p>
    <w:p>
      <w:pPr>
        <w:pStyle w:val="34"/>
        <w:numPr>
          <w:ilvl w:val="1"/>
          <w:numId w:val="2"/>
        </w:numPr>
        <w:spacing w:line="400" w:lineRule="exact"/>
        <w:rPr>
          <w:rFonts w:cs="微软雅黑"/>
          <w:color w:val="000000"/>
        </w:rPr>
      </w:pPr>
      <w:r>
        <w:rPr>
          <w:rFonts w:hint="eastAsia" w:cs="微软雅黑"/>
          <w:color w:val="000000"/>
        </w:rPr>
        <w:t>投标人须根据招标文件要求签字或加盖投标人公章。</w:t>
      </w:r>
    </w:p>
    <w:p>
      <w:pPr>
        <w:pStyle w:val="34"/>
        <w:numPr>
          <w:ilvl w:val="1"/>
          <w:numId w:val="2"/>
        </w:numPr>
        <w:spacing w:line="400" w:lineRule="exact"/>
        <w:rPr>
          <w:rFonts w:cs="微软雅黑"/>
          <w:b/>
          <w:color w:val="FF0000"/>
        </w:rPr>
      </w:pPr>
      <w:r>
        <w:rPr>
          <w:rFonts w:hint="eastAsia" w:cs="微软雅黑"/>
          <w:b/>
          <w:color w:val="FF0000"/>
        </w:rPr>
        <w:t>本招标文件中所要求加盖的投标人公章是指在电子投标文件中使用CA数字认证证书加盖与投标人名称全称相一致的“行政公章”的</w:t>
      </w:r>
      <w:r>
        <w:rPr>
          <w:rFonts w:hint="eastAsia" w:cs="微软雅黑"/>
          <w:b/>
          <w:color w:val="FF0000"/>
          <w:u w:val="single"/>
        </w:rPr>
        <w:t>电子签章</w:t>
      </w:r>
      <w:r>
        <w:rPr>
          <w:rFonts w:hint="eastAsia" w:cs="微软雅黑"/>
          <w:b/>
          <w:color w:val="FF0000"/>
        </w:rPr>
        <w:t>，不得加盖其它“合同专用章、投标专用章、财务专用章”等非行政公章；签字是指签字或名章。不符合本条规定的盖章为无效盖章。</w:t>
      </w:r>
    </w:p>
    <w:p>
      <w:pPr>
        <w:spacing w:line="400" w:lineRule="exact"/>
        <w:ind w:left="718" w:hanging="718" w:hangingChars="342"/>
        <w:rPr>
          <w:rFonts w:ascii="宋体" w:hAnsi="宋体" w:cs="微软雅黑"/>
          <w:color w:val="000000"/>
          <w:sz w:val="21"/>
          <w:szCs w:val="21"/>
        </w:rPr>
      </w:pPr>
      <w:r>
        <w:rPr>
          <w:rFonts w:hint="eastAsia" w:ascii="宋体" w:hAnsi="宋体" w:cs="微软雅黑"/>
          <w:color w:val="000000"/>
          <w:sz w:val="21"/>
          <w:szCs w:val="21"/>
        </w:rPr>
        <w:t xml:space="preserve">     </w:t>
      </w:r>
    </w:p>
    <w:p>
      <w:pPr>
        <w:pStyle w:val="4"/>
        <w:spacing w:before="0" w:after="120" w:line="400" w:lineRule="exact"/>
        <w:ind w:left="238"/>
        <w:rPr>
          <w:rFonts w:ascii="宋体" w:hAnsi="宋体" w:eastAsia="宋体" w:cs="微软雅黑"/>
          <w:bCs w:val="0"/>
          <w:sz w:val="21"/>
          <w:szCs w:val="21"/>
        </w:rPr>
      </w:pPr>
      <w:bookmarkStart w:id="56" w:name="_Toc328815995"/>
      <w:r>
        <w:rPr>
          <w:rFonts w:hint="eastAsia" w:ascii="宋体" w:hAnsi="宋体" w:eastAsia="宋体" w:cs="微软雅黑"/>
          <w:bCs w:val="0"/>
          <w:sz w:val="21"/>
          <w:szCs w:val="21"/>
        </w:rPr>
        <w:t>电子投标文件的</w:t>
      </w:r>
      <w:bookmarkEnd w:id="56"/>
      <w:r>
        <w:rPr>
          <w:rFonts w:hint="eastAsia" w:ascii="宋体" w:hAnsi="宋体" w:eastAsia="宋体" w:cs="微软雅黑"/>
          <w:bCs w:val="0"/>
          <w:sz w:val="21"/>
          <w:szCs w:val="21"/>
        </w:rPr>
        <w:t xml:space="preserve">提交     </w:t>
      </w:r>
    </w:p>
    <w:p>
      <w:pPr>
        <w:pStyle w:val="34"/>
        <w:tabs>
          <w:tab w:val="clear" w:pos="709"/>
        </w:tabs>
        <w:spacing w:line="400" w:lineRule="exact"/>
        <w:rPr>
          <w:rFonts w:cs="微软雅黑"/>
          <w:color w:val="000000"/>
        </w:rPr>
      </w:pPr>
      <w:r>
        <w:rPr>
          <w:rFonts w:hint="eastAsia" w:cs="微软雅黑"/>
          <w:color w:val="000000"/>
        </w:rPr>
        <w:t>电子投标文件的制作和上传</w:t>
      </w:r>
    </w:p>
    <w:p>
      <w:pPr>
        <w:pStyle w:val="34"/>
        <w:numPr>
          <w:ilvl w:val="0"/>
          <w:numId w:val="0"/>
        </w:numPr>
        <w:spacing w:line="400" w:lineRule="exact"/>
        <w:ind w:left="709"/>
        <w:rPr>
          <w:rFonts w:cs="微软雅黑"/>
          <w:color w:val="000000"/>
        </w:rPr>
      </w:pPr>
      <w:r>
        <w:rPr>
          <w:rFonts w:hint="eastAsia" w:cs="微软雅黑"/>
          <w:color w:val="000000"/>
        </w:rPr>
        <w:t>具体说明及要求详见招标文件第一部分投标邀请。</w:t>
      </w:r>
    </w:p>
    <w:p>
      <w:pPr>
        <w:pStyle w:val="34"/>
        <w:numPr>
          <w:ilvl w:val="0"/>
          <w:numId w:val="0"/>
        </w:numPr>
        <w:spacing w:line="400" w:lineRule="exact"/>
        <w:ind w:left="709"/>
        <w:rPr>
          <w:rFonts w:cs="微软雅黑"/>
          <w:color w:val="000000"/>
        </w:rPr>
      </w:pPr>
    </w:p>
    <w:p>
      <w:pPr>
        <w:pStyle w:val="34"/>
        <w:tabs>
          <w:tab w:val="clear" w:pos="709"/>
        </w:tabs>
        <w:spacing w:line="400" w:lineRule="exact"/>
        <w:rPr>
          <w:rFonts w:cs="微软雅黑"/>
          <w:color w:val="000000"/>
        </w:rPr>
      </w:pPr>
      <w:r>
        <w:rPr>
          <w:rFonts w:hint="eastAsia" w:cs="微软雅黑"/>
          <w:color w:val="000000"/>
        </w:rPr>
        <w:t>电子投标截止时间</w:t>
      </w:r>
    </w:p>
    <w:p>
      <w:pPr>
        <w:pStyle w:val="34"/>
        <w:numPr>
          <w:ilvl w:val="1"/>
          <w:numId w:val="2"/>
        </w:numPr>
        <w:snapToGrid w:val="0"/>
        <w:spacing w:line="400" w:lineRule="exact"/>
        <w:rPr>
          <w:rFonts w:cs="微软雅黑"/>
        </w:rPr>
      </w:pPr>
      <w:r>
        <w:rPr>
          <w:rFonts w:hint="eastAsia" w:cs="微软雅黑"/>
          <w:color w:val="000000"/>
        </w:rPr>
        <w:t>投标人须在招标文件规定的电子投标截止时间前在</w:t>
      </w:r>
      <w:r>
        <w:rPr>
          <w:rFonts w:hint="eastAsia" w:cs="微软雅黑"/>
        </w:rPr>
        <w:t>北京市政府采购电子交易平台</w:t>
      </w:r>
      <w:r>
        <w:rPr>
          <w:rFonts w:hint="eastAsia" w:cs="微软雅黑"/>
          <w:color w:val="000000"/>
        </w:rPr>
        <w:t>上传电子投标文件</w:t>
      </w:r>
      <w:r>
        <w:rPr>
          <w:rFonts w:hint="eastAsia" w:cs="微软雅黑"/>
        </w:rPr>
        <w:t>，否则投标无效。</w:t>
      </w:r>
    </w:p>
    <w:p>
      <w:pPr>
        <w:pStyle w:val="34"/>
        <w:numPr>
          <w:ilvl w:val="0"/>
          <w:numId w:val="0"/>
        </w:numPr>
        <w:snapToGrid w:val="0"/>
        <w:spacing w:line="400" w:lineRule="exact"/>
        <w:ind w:left="709"/>
        <w:rPr>
          <w:rFonts w:cs="微软雅黑"/>
        </w:rPr>
      </w:pPr>
    </w:p>
    <w:p>
      <w:pPr>
        <w:pStyle w:val="34"/>
        <w:tabs>
          <w:tab w:val="clear" w:pos="709"/>
        </w:tabs>
        <w:spacing w:line="400" w:lineRule="exact"/>
        <w:rPr>
          <w:rFonts w:cs="微软雅黑"/>
          <w:color w:val="000000"/>
        </w:rPr>
      </w:pPr>
      <w:r>
        <w:rPr>
          <w:rFonts w:hint="eastAsia" w:cs="微软雅黑"/>
          <w:color w:val="000000"/>
        </w:rPr>
        <w:t>电子投标文件的撤回和撤销</w:t>
      </w:r>
    </w:p>
    <w:p>
      <w:pPr>
        <w:pStyle w:val="34"/>
        <w:numPr>
          <w:ilvl w:val="1"/>
          <w:numId w:val="2"/>
        </w:numPr>
        <w:spacing w:line="400" w:lineRule="exact"/>
        <w:rPr>
          <w:rFonts w:cs="微软雅黑"/>
          <w:color w:val="000000"/>
        </w:rPr>
      </w:pPr>
      <w:r>
        <w:rPr>
          <w:rFonts w:hint="eastAsia" w:cs="微软雅黑"/>
          <w:color w:val="000000"/>
        </w:rPr>
        <w:t>在投标截止时间前，投标人可登陆</w:t>
      </w:r>
      <w:r>
        <w:rPr>
          <w:rFonts w:hint="eastAsia" w:cs="微软雅黑"/>
        </w:rPr>
        <w:t>北京市政府采购电子交易平台</w:t>
      </w:r>
      <w:r>
        <w:rPr>
          <w:rFonts w:hint="eastAsia" w:cs="微软雅黑"/>
          <w:color w:val="000000"/>
        </w:rPr>
        <w:t>对所上传的电子投标文件在进行撤回或重新上传。</w:t>
      </w:r>
    </w:p>
    <w:p>
      <w:pPr>
        <w:pStyle w:val="34"/>
        <w:numPr>
          <w:ilvl w:val="1"/>
          <w:numId w:val="2"/>
        </w:numPr>
        <w:spacing w:line="400" w:lineRule="exact"/>
        <w:rPr>
          <w:rFonts w:cs="微软雅黑"/>
          <w:color w:val="000000"/>
        </w:rPr>
      </w:pPr>
      <w:r>
        <w:rPr>
          <w:rFonts w:hint="eastAsia" w:cs="微软雅黑"/>
          <w:color w:val="000000"/>
        </w:rPr>
        <w:t>在投标截止时间后，投标人不得在投标有效期内撤销其电子投标文件。</w:t>
      </w:r>
    </w:p>
    <w:p>
      <w:pPr>
        <w:spacing w:line="400" w:lineRule="exact"/>
        <w:rPr>
          <w:rFonts w:ascii="宋体" w:hAnsi="宋体" w:cs="微软雅黑"/>
          <w:color w:val="000000"/>
          <w:sz w:val="21"/>
          <w:szCs w:val="21"/>
        </w:rPr>
      </w:pPr>
      <w:r>
        <w:rPr>
          <w:rFonts w:hint="eastAsia" w:ascii="宋体" w:hAnsi="宋体" w:cs="微软雅黑"/>
          <w:color w:val="000000"/>
          <w:sz w:val="21"/>
          <w:szCs w:val="21"/>
        </w:rPr>
        <w:t xml:space="preserve">     </w:t>
      </w:r>
    </w:p>
    <w:p>
      <w:pPr>
        <w:pStyle w:val="4"/>
        <w:spacing w:before="0" w:after="120" w:line="400" w:lineRule="exact"/>
        <w:ind w:left="238"/>
        <w:rPr>
          <w:rFonts w:ascii="宋体" w:hAnsi="宋体" w:eastAsia="宋体" w:cs="微软雅黑"/>
          <w:bCs w:val="0"/>
          <w:sz w:val="21"/>
          <w:szCs w:val="21"/>
        </w:rPr>
      </w:pPr>
      <w:bookmarkStart w:id="57" w:name="_Toc328815996"/>
      <w:r>
        <w:rPr>
          <w:rFonts w:hint="eastAsia" w:ascii="宋体" w:hAnsi="宋体" w:eastAsia="宋体" w:cs="微软雅黑"/>
          <w:bCs w:val="0"/>
          <w:sz w:val="21"/>
          <w:szCs w:val="21"/>
        </w:rPr>
        <w:t>开标</w:t>
      </w:r>
      <w:bookmarkEnd w:id="57"/>
      <w:r>
        <w:rPr>
          <w:rFonts w:hint="eastAsia" w:ascii="宋体" w:hAnsi="宋体" w:eastAsia="宋体" w:cs="微软雅黑"/>
          <w:bCs w:val="0"/>
          <w:sz w:val="21"/>
          <w:szCs w:val="21"/>
        </w:rPr>
        <w:t xml:space="preserve">、解密及唱标     </w:t>
      </w:r>
    </w:p>
    <w:p>
      <w:pPr>
        <w:pStyle w:val="34"/>
        <w:tabs>
          <w:tab w:val="clear" w:pos="709"/>
        </w:tabs>
        <w:spacing w:line="400" w:lineRule="exact"/>
        <w:rPr>
          <w:rFonts w:cs="微软雅黑"/>
          <w:color w:val="000000"/>
        </w:rPr>
      </w:pPr>
      <w:r>
        <w:rPr>
          <w:rFonts w:hint="eastAsia" w:cs="微软雅黑"/>
          <w:color w:val="000000"/>
        </w:rPr>
        <w:t>开标、解密及唱标</w:t>
      </w:r>
    </w:p>
    <w:p>
      <w:pPr>
        <w:pStyle w:val="34"/>
        <w:numPr>
          <w:ilvl w:val="1"/>
          <w:numId w:val="2"/>
        </w:numPr>
        <w:spacing w:line="400" w:lineRule="exact"/>
        <w:rPr>
          <w:rFonts w:cs="微软雅黑"/>
          <w:color w:val="000000"/>
        </w:rPr>
      </w:pPr>
      <w:r>
        <w:rPr>
          <w:rFonts w:hint="eastAsia" w:cs="微软雅黑"/>
        </w:rPr>
        <w:t>本项目采用</w:t>
      </w:r>
      <w:r>
        <w:rPr>
          <w:rFonts w:hint="eastAsia" w:cs="微软雅黑"/>
          <w:b/>
        </w:rPr>
        <w:t>远程电子开标方式</w:t>
      </w:r>
      <w:r>
        <w:rPr>
          <w:rFonts w:hint="eastAsia" w:cs="微软雅黑"/>
        </w:rPr>
        <w:t>。投标人须在制作上传本项目电子投标文件的计算机设备上，使用自身CA数字认证证书登录北京市政府采购电子交易平台，并在规定的解密截止时间内对其上传的电子投标文件进行</w:t>
      </w:r>
      <w:r>
        <w:rPr>
          <w:rFonts w:hint="eastAsia" w:cs="微软雅黑"/>
          <w:b/>
        </w:rPr>
        <w:t>自行远程解密。</w:t>
      </w:r>
    </w:p>
    <w:p>
      <w:pPr>
        <w:pStyle w:val="34"/>
        <w:numPr>
          <w:ilvl w:val="0"/>
          <w:numId w:val="0"/>
        </w:numPr>
        <w:spacing w:line="400" w:lineRule="exact"/>
        <w:ind w:left="709"/>
        <w:rPr>
          <w:rFonts w:cs="微软雅黑"/>
          <w:color w:val="000000"/>
        </w:rPr>
      </w:pPr>
      <w:r>
        <w:rPr>
          <w:rFonts w:hint="eastAsia" w:cs="微软雅黑"/>
        </w:rPr>
        <w:t>注：请投标人确认已将负责开标解密的工作人员联系方式发送至采购中心指定邮箱并保持电话畅通。</w:t>
      </w:r>
    </w:p>
    <w:p>
      <w:pPr>
        <w:pStyle w:val="34"/>
        <w:numPr>
          <w:ilvl w:val="1"/>
          <w:numId w:val="2"/>
        </w:numPr>
        <w:spacing w:line="400" w:lineRule="exact"/>
        <w:rPr>
          <w:rFonts w:cs="微软雅黑"/>
          <w:color w:val="000000"/>
        </w:rPr>
      </w:pPr>
      <w:r>
        <w:rPr>
          <w:rFonts w:hint="eastAsia" w:cs="微软雅黑"/>
          <w:color w:val="000000"/>
        </w:rPr>
        <w:t>在规定的解密截止时间内，如所有投标人均自行解密成功，则结束解密进入唱标环节；如有投标人未自行解密成功，则解密时间倒计时至截止时间后进入唱标环节。</w:t>
      </w:r>
    </w:p>
    <w:p>
      <w:pPr>
        <w:pStyle w:val="34"/>
        <w:numPr>
          <w:ilvl w:val="1"/>
          <w:numId w:val="2"/>
        </w:numPr>
        <w:spacing w:line="400" w:lineRule="exact"/>
        <w:rPr>
          <w:rFonts w:cs="微软雅黑"/>
          <w:color w:val="000000"/>
        </w:rPr>
      </w:pPr>
      <w:r>
        <w:rPr>
          <w:rFonts w:hint="eastAsia" w:cs="微软雅黑"/>
          <w:color w:val="000000"/>
        </w:rPr>
        <w:t>解密程序结束后，有效投标人数量符合法律规定的，将在系统内展示所有解密成功的投标人报价。</w:t>
      </w:r>
    </w:p>
    <w:p>
      <w:pPr>
        <w:pStyle w:val="34"/>
        <w:numPr>
          <w:ilvl w:val="1"/>
          <w:numId w:val="2"/>
        </w:numPr>
        <w:spacing w:line="400" w:lineRule="exact"/>
        <w:rPr>
          <w:rFonts w:cs="微软雅黑"/>
          <w:color w:val="000000"/>
        </w:rPr>
      </w:pPr>
      <w:r>
        <w:rPr>
          <w:rFonts w:hint="eastAsia" w:cs="微软雅黑"/>
          <w:color w:val="000000"/>
        </w:rPr>
        <w:t>开标时，到规定的解密截止时间，如部分投标人未进行自行解密、未解密成功，或解密后投标报价为零、为空的，该投标人的电子投标文件作无效投标处理。</w:t>
      </w:r>
    </w:p>
    <w:p>
      <w:pPr>
        <w:pStyle w:val="34"/>
        <w:numPr>
          <w:ilvl w:val="1"/>
          <w:numId w:val="2"/>
        </w:numPr>
        <w:spacing w:line="400" w:lineRule="exact"/>
        <w:rPr>
          <w:rFonts w:cs="微软雅黑"/>
          <w:color w:val="000000"/>
        </w:rPr>
      </w:pPr>
      <w:r>
        <w:rPr>
          <w:rFonts w:hint="eastAsia" w:cs="微软雅黑"/>
          <w:color w:val="000000"/>
        </w:rPr>
        <w:t>开标时，到规定的解密截止时间，如所有投标人的电子投标文件均无法自行解密成功的，该项目将暂停开标，另行通知开标、解密时间。暂停开标期间，投标人无法修改或重新上传电子投标文件。</w:t>
      </w:r>
    </w:p>
    <w:p>
      <w:pPr>
        <w:spacing w:line="400" w:lineRule="exact"/>
        <w:rPr>
          <w:rFonts w:ascii="宋体" w:hAnsi="宋体" w:cs="微软雅黑"/>
          <w:color w:val="000000"/>
          <w:sz w:val="21"/>
          <w:szCs w:val="21"/>
        </w:rPr>
      </w:pPr>
    </w:p>
    <w:p>
      <w:pPr>
        <w:pStyle w:val="4"/>
        <w:spacing w:before="0" w:after="120" w:line="400" w:lineRule="exact"/>
        <w:ind w:left="238"/>
        <w:rPr>
          <w:rFonts w:ascii="宋体" w:hAnsi="宋体" w:eastAsia="宋体" w:cs="微软雅黑"/>
          <w:bCs w:val="0"/>
          <w:sz w:val="21"/>
          <w:szCs w:val="21"/>
        </w:rPr>
      </w:pPr>
      <w:bookmarkStart w:id="58" w:name="_Toc328815997"/>
      <w:r>
        <w:rPr>
          <w:rFonts w:hint="eastAsia" w:ascii="宋体" w:hAnsi="宋体" w:eastAsia="宋体" w:cs="微软雅黑"/>
          <w:bCs w:val="0"/>
          <w:sz w:val="21"/>
          <w:szCs w:val="21"/>
        </w:rPr>
        <w:t>评标步骤和要求</w:t>
      </w:r>
      <w:bookmarkEnd w:id="58"/>
    </w:p>
    <w:p>
      <w:pPr>
        <w:pStyle w:val="34"/>
        <w:tabs>
          <w:tab w:val="clear" w:pos="709"/>
        </w:tabs>
        <w:spacing w:line="400" w:lineRule="exact"/>
        <w:rPr>
          <w:rFonts w:cs="微软雅黑"/>
          <w:color w:val="000000"/>
        </w:rPr>
      </w:pPr>
      <w:r>
        <w:rPr>
          <w:rFonts w:hint="eastAsia" w:cs="微软雅黑"/>
          <w:color w:val="000000"/>
        </w:rPr>
        <w:t>选取评审专家及组建评标委员会</w:t>
      </w:r>
    </w:p>
    <w:p>
      <w:pPr>
        <w:pStyle w:val="34"/>
        <w:numPr>
          <w:ilvl w:val="1"/>
          <w:numId w:val="2"/>
        </w:numPr>
        <w:spacing w:line="400" w:lineRule="exact"/>
        <w:rPr>
          <w:rFonts w:cs="微软雅黑"/>
          <w:color w:val="000000"/>
        </w:rPr>
      </w:pPr>
      <w:r>
        <w:rPr>
          <w:rFonts w:hint="eastAsia" w:cs="微软雅黑"/>
          <w:color w:val="000000"/>
        </w:rPr>
        <w:t>采购人根据有关法律法规、本招标文件的规定及项目特点选取评审专家。</w:t>
      </w:r>
    </w:p>
    <w:p>
      <w:pPr>
        <w:pStyle w:val="34"/>
        <w:numPr>
          <w:ilvl w:val="1"/>
          <w:numId w:val="2"/>
        </w:numPr>
        <w:spacing w:line="400" w:lineRule="exact"/>
        <w:rPr>
          <w:rFonts w:cs="微软雅黑"/>
          <w:color w:val="000000"/>
        </w:rPr>
      </w:pPr>
      <w:r>
        <w:rPr>
          <w:rFonts w:hint="eastAsia" w:cs="微软雅黑"/>
          <w:color w:val="000000"/>
        </w:rPr>
        <w:t>本项目根据有关法律法规、本招标文件的规定及项目特点组建评标委员会。</w:t>
      </w:r>
    </w:p>
    <w:p>
      <w:pPr>
        <w:pStyle w:val="34"/>
        <w:numPr>
          <w:ilvl w:val="0"/>
          <w:numId w:val="0"/>
        </w:numPr>
        <w:tabs>
          <w:tab w:val="left" w:pos="420"/>
        </w:tabs>
        <w:spacing w:line="400" w:lineRule="exact"/>
        <w:rPr>
          <w:rFonts w:cs="微软雅黑"/>
          <w:color w:val="000000"/>
        </w:rPr>
      </w:pPr>
    </w:p>
    <w:p>
      <w:pPr>
        <w:pStyle w:val="34"/>
        <w:tabs>
          <w:tab w:val="clear" w:pos="709"/>
        </w:tabs>
        <w:snapToGrid w:val="0"/>
        <w:spacing w:line="400" w:lineRule="exact"/>
        <w:rPr>
          <w:rFonts w:cs="微软雅黑"/>
        </w:rPr>
      </w:pPr>
      <w:r>
        <w:rPr>
          <w:rFonts w:hint="eastAsia" w:cs="微软雅黑"/>
        </w:rPr>
        <w:t>评审</w:t>
      </w:r>
    </w:p>
    <w:p>
      <w:pPr>
        <w:pStyle w:val="34"/>
        <w:numPr>
          <w:ilvl w:val="1"/>
          <w:numId w:val="2"/>
        </w:numPr>
        <w:snapToGrid w:val="0"/>
        <w:spacing w:line="400" w:lineRule="exact"/>
        <w:rPr>
          <w:rFonts w:cs="微软雅黑"/>
        </w:rPr>
      </w:pPr>
      <w:r>
        <w:rPr>
          <w:rFonts w:hint="eastAsia"/>
          <w:color w:val="000000"/>
        </w:rPr>
        <w:t>资格性审查和符合性审查。</w:t>
      </w:r>
      <w:r>
        <w:rPr>
          <w:rStyle w:val="46"/>
          <w:rFonts w:cs="宋体"/>
          <w:color w:val="000000"/>
        </w:rPr>
        <w:t> </w:t>
      </w:r>
    </w:p>
    <w:p>
      <w:pPr>
        <w:numPr>
          <w:ilvl w:val="0"/>
          <w:numId w:val="16"/>
        </w:numPr>
        <w:snapToGrid w:val="0"/>
        <w:spacing w:line="400" w:lineRule="exact"/>
        <w:rPr>
          <w:rFonts w:ascii="宋体" w:hAnsi="宋体" w:cs="微软雅黑"/>
          <w:sz w:val="21"/>
          <w:szCs w:val="21"/>
        </w:rPr>
      </w:pPr>
      <w:r>
        <w:rPr>
          <w:rFonts w:hint="eastAsia" w:ascii="宋体" w:hAnsi="宋体" w:cs="微软雅黑"/>
          <w:sz w:val="21"/>
          <w:szCs w:val="21"/>
        </w:rPr>
        <w:t>资格性审查。采购人依据法律法规和招标文件的规定，对资格证明文件进行资格性审查，以确定投标人是否具备投标资格。</w:t>
      </w:r>
      <w:r>
        <w:rPr>
          <w:rFonts w:ascii="宋体" w:hAnsi="宋体" w:cs="微软雅黑"/>
          <w:sz w:val="21"/>
          <w:szCs w:val="21"/>
        </w:rPr>
        <w:t> </w:t>
      </w:r>
    </w:p>
    <w:p>
      <w:pPr>
        <w:numPr>
          <w:ilvl w:val="0"/>
          <w:numId w:val="16"/>
        </w:numPr>
        <w:snapToGrid w:val="0"/>
        <w:spacing w:line="400" w:lineRule="exact"/>
        <w:rPr>
          <w:rFonts w:ascii="宋体" w:hAnsi="宋体" w:cs="微软雅黑"/>
          <w:sz w:val="21"/>
          <w:szCs w:val="21"/>
        </w:rPr>
      </w:pPr>
      <w:r>
        <w:rPr>
          <w:rFonts w:hint="eastAsia" w:ascii="宋体" w:hAnsi="宋体" w:cs="微软雅黑"/>
          <w:sz w:val="21"/>
          <w:szCs w:val="21"/>
        </w:rPr>
        <w:t>符合性审查。评标委员会依据法律法规和招标文件的规定，对技术文件进行符合性审查，以确定其是否满足招标文件的实质性要求。</w:t>
      </w:r>
    </w:p>
    <w:p>
      <w:pPr>
        <w:pStyle w:val="34"/>
        <w:numPr>
          <w:ilvl w:val="1"/>
          <w:numId w:val="2"/>
        </w:numPr>
        <w:snapToGrid w:val="0"/>
        <w:spacing w:line="400" w:lineRule="exact"/>
        <w:rPr>
          <w:rFonts w:cs="微软雅黑"/>
          <w:b/>
        </w:rPr>
      </w:pPr>
      <w:r>
        <w:rPr>
          <w:rFonts w:hint="eastAsia"/>
          <w:b/>
        </w:rPr>
        <w:t>采购人及评标委员会审查每份电子投标文件是否实质上响应了招标文件的要求。实质上没有响应招标文件要求的投标作无效投标处理。投标人不得通过修正或撤销不符之处而使其投标成为实质上响应的投标。如发现下列情况之一的，其投标将被拒绝或认定为无效投标：</w:t>
      </w:r>
    </w:p>
    <w:p>
      <w:pPr>
        <w:numPr>
          <w:ilvl w:val="0"/>
          <w:numId w:val="17"/>
        </w:numPr>
        <w:snapToGrid w:val="0"/>
        <w:spacing w:line="400" w:lineRule="exact"/>
        <w:rPr>
          <w:rFonts w:ascii="宋体" w:hAnsi="宋体" w:cs="微软雅黑"/>
          <w:sz w:val="21"/>
          <w:szCs w:val="21"/>
        </w:rPr>
      </w:pPr>
      <w:r>
        <w:rPr>
          <w:rFonts w:hint="eastAsia" w:ascii="宋体" w:hAnsi="宋体" w:cs="微软雅黑"/>
          <w:sz w:val="21"/>
          <w:szCs w:val="21"/>
        </w:rPr>
        <w:t>不具备招标文件中规定的资格要求的；</w:t>
      </w:r>
    </w:p>
    <w:p>
      <w:pPr>
        <w:numPr>
          <w:ilvl w:val="0"/>
          <w:numId w:val="17"/>
        </w:numPr>
        <w:snapToGrid w:val="0"/>
        <w:spacing w:line="400" w:lineRule="exact"/>
        <w:rPr>
          <w:rFonts w:ascii="宋体" w:hAnsi="宋体" w:cs="微软雅黑"/>
          <w:sz w:val="21"/>
          <w:szCs w:val="21"/>
        </w:rPr>
      </w:pPr>
      <w:r>
        <w:rPr>
          <w:rFonts w:hint="eastAsia" w:ascii="宋体" w:hAnsi="宋体" w:cs="微软雅黑"/>
          <w:sz w:val="21"/>
          <w:szCs w:val="21"/>
        </w:rPr>
        <w:t>未对招标文件中规定所有带*部分的条款作出实质性响应的，包括其中未按规定签字、盖章的；</w:t>
      </w:r>
    </w:p>
    <w:p>
      <w:pPr>
        <w:numPr>
          <w:ilvl w:val="0"/>
          <w:numId w:val="17"/>
        </w:numPr>
        <w:snapToGrid w:val="0"/>
        <w:spacing w:line="400" w:lineRule="exact"/>
        <w:rPr>
          <w:rFonts w:ascii="宋体" w:hAnsi="宋体" w:cs="微软雅黑"/>
          <w:sz w:val="21"/>
          <w:szCs w:val="21"/>
        </w:rPr>
      </w:pPr>
      <w:r>
        <w:rPr>
          <w:rFonts w:hint="eastAsia" w:ascii="宋体" w:hAnsi="宋体" w:cs="微软雅黑"/>
          <w:sz w:val="21"/>
          <w:szCs w:val="21"/>
        </w:rPr>
        <w:t>属于招标文件中规定的作无效投标处理情形的；</w:t>
      </w:r>
    </w:p>
    <w:p>
      <w:pPr>
        <w:numPr>
          <w:ilvl w:val="0"/>
          <w:numId w:val="17"/>
        </w:numPr>
        <w:snapToGrid w:val="0"/>
        <w:spacing w:line="400" w:lineRule="exact"/>
        <w:rPr>
          <w:rFonts w:ascii="宋体" w:hAnsi="宋体" w:cs="微软雅黑"/>
          <w:sz w:val="21"/>
          <w:szCs w:val="21"/>
        </w:rPr>
      </w:pPr>
      <w:r>
        <w:rPr>
          <w:rFonts w:hint="eastAsia" w:ascii="宋体" w:hAnsi="宋体" w:cs="微软雅黑"/>
          <w:sz w:val="21"/>
          <w:szCs w:val="21"/>
        </w:rPr>
        <w:t>投标报价超出采购预算的；</w:t>
      </w:r>
    </w:p>
    <w:p>
      <w:pPr>
        <w:numPr>
          <w:ilvl w:val="0"/>
          <w:numId w:val="17"/>
        </w:numPr>
        <w:snapToGrid w:val="0"/>
        <w:spacing w:line="400" w:lineRule="exact"/>
        <w:rPr>
          <w:rFonts w:ascii="宋体" w:hAnsi="宋体" w:cs="微软雅黑"/>
          <w:sz w:val="21"/>
          <w:szCs w:val="21"/>
        </w:rPr>
      </w:pPr>
      <w:r>
        <w:rPr>
          <w:rFonts w:hint="eastAsia" w:ascii="宋体" w:hAnsi="宋体" w:cs="微软雅黑"/>
          <w:sz w:val="21"/>
          <w:szCs w:val="21"/>
        </w:rPr>
        <w:t>电子投标报价未按照招标文件规定的格式报价导致无法履行合同的；</w:t>
      </w:r>
    </w:p>
    <w:p>
      <w:pPr>
        <w:numPr>
          <w:ilvl w:val="0"/>
          <w:numId w:val="17"/>
        </w:numPr>
        <w:snapToGrid w:val="0"/>
        <w:spacing w:line="400" w:lineRule="exact"/>
        <w:rPr>
          <w:rFonts w:ascii="宋体" w:hAnsi="宋体" w:cs="微软雅黑"/>
          <w:sz w:val="21"/>
          <w:szCs w:val="21"/>
        </w:rPr>
      </w:pPr>
      <w:r>
        <w:rPr>
          <w:rFonts w:hint="eastAsia" w:ascii="宋体" w:hAnsi="宋体" w:cs="微软雅黑"/>
          <w:sz w:val="21"/>
          <w:szCs w:val="21"/>
        </w:rPr>
        <w:t>不符合招标文件中有关分包、转包规定的；</w:t>
      </w:r>
    </w:p>
    <w:p>
      <w:pPr>
        <w:numPr>
          <w:ilvl w:val="0"/>
          <w:numId w:val="17"/>
        </w:numPr>
        <w:snapToGrid w:val="0"/>
        <w:spacing w:line="400" w:lineRule="exact"/>
        <w:rPr>
          <w:rFonts w:ascii="宋体" w:hAnsi="宋体" w:cs="微软雅黑"/>
          <w:sz w:val="21"/>
          <w:szCs w:val="21"/>
        </w:rPr>
      </w:pPr>
      <w:r>
        <w:rPr>
          <w:rFonts w:hint="eastAsia" w:ascii="宋体" w:hAnsi="宋体" w:cs="微软雅黑"/>
          <w:sz w:val="21"/>
          <w:szCs w:val="21"/>
        </w:rPr>
        <w:t>不符合法律、法规和招标文件中规定的其他实质性要求的。</w:t>
      </w:r>
    </w:p>
    <w:p>
      <w:pPr>
        <w:pStyle w:val="34"/>
        <w:numPr>
          <w:ilvl w:val="1"/>
          <w:numId w:val="2"/>
        </w:numPr>
        <w:snapToGrid w:val="0"/>
        <w:spacing w:line="400" w:lineRule="exact"/>
        <w:rPr>
          <w:rFonts w:cs="微软雅黑"/>
        </w:rPr>
      </w:pPr>
      <w:r>
        <w:rPr>
          <w:rFonts w:hint="eastAsia"/>
        </w:rPr>
        <w:t>电子投标文件报价出现前后不一致的，按照下列规定修正：</w:t>
      </w:r>
    </w:p>
    <w:p>
      <w:pPr>
        <w:numPr>
          <w:ilvl w:val="0"/>
          <w:numId w:val="18"/>
        </w:numPr>
        <w:snapToGrid w:val="0"/>
        <w:spacing w:line="400" w:lineRule="exact"/>
        <w:rPr>
          <w:rFonts w:ascii="宋体" w:hAnsi="宋体" w:cs="微软雅黑"/>
          <w:sz w:val="21"/>
          <w:szCs w:val="21"/>
        </w:rPr>
      </w:pPr>
      <w:r>
        <w:rPr>
          <w:rFonts w:hint="eastAsia" w:ascii="宋体" w:hAnsi="宋体" w:cs="微软雅黑"/>
          <w:sz w:val="21"/>
          <w:szCs w:val="21"/>
        </w:rPr>
        <w:t>开标时，在北京市政府采购电子交易平台上显示的投标报价内容与电子投标文件中相应内容不一致的,以开标时显示的投标报价内容为准；</w:t>
      </w:r>
    </w:p>
    <w:p>
      <w:pPr>
        <w:numPr>
          <w:ilvl w:val="0"/>
          <w:numId w:val="18"/>
        </w:numPr>
        <w:snapToGrid w:val="0"/>
        <w:spacing w:line="400" w:lineRule="exact"/>
        <w:rPr>
          <w:rFonts w:ascii="宋体" w:hAnsi="宋体" w:cs="微软雅黑"/>
          <w:sz w:val="21"/>
          <w:szCs w:val="21"/>
        </w:rPr>
      </w:pPr>
      <w:r>
        <w:rPr>
          <w:rFonts w:hint="eastAsia" w:ascii="宋体" w:hAnsi="宋体" w:cs="微软雅黑"/>
          <w:sz w:val="21"/>
          <w:szCs w:val="21"/>
        </w:rPr>
        <w:t>大写金额和小写金额不一致的，以大写金额为准；</w:t>
      </w:r>
    </w:p>
    <w:p>
      <w:pPr>
        <w:numPr>
          <w:ilvl w:val="0"/>
          <w:numId w:val="18"/>
        </w:numPr>
        <w:snapToGrid w:val="0"/>
        <w:spacing w:line="400" w:lineRule="exact"/>
        <w:rPr>
          <w:rFonts w:ascii="宋体" w:hAnsi="宋体" w:cs="微软雅黑"/>
          <w:sz w:val="21"/>
          <w:szCs w:val="21"/>
        </w:rPr>
      </w:pPr>
      <w:r>
        <w:rPr>
          <w:rFonts w:hint="eastAsia" w:ascii="宋体" w:hAnsi="宋体" w:cs="微软雅黑"/>
          <w:sz w:val="21"/>
          <w:szCs w:val="21"/>
        </w:rPr>
        <w:t>单价金额小数点或者百分比有明显错位的，以总价为准，并修改单价；</w:t>
      </w:r>
    </w:p>
    <w:p>
      <w:pPr>
        <w:numPr>
          <w:ilvl w:val="0"/>
          <w:numId w:val="18"/>
        </w:numPr>
        <w:snapToGrid w:val="0"/>
        <w:spacing w:line="400" w:lineRule="exact"/>
        <w:rPr>
          <w:rFonts w:ascii="宋体" w:hAnsi="宋体" w:cs="微软雅黑"/>
          <w:sz w:val="21"/>
          <w:szCs w:val="21"/>
        </w:rPr>
      </w:pPr>
      <w:r>
        <w:rPr>
          <w:rFonts w:hint="eastAsia" w:ascii="宋体" w:hAnsi="宋体" w:cs="微软雅黑"/>
          <w:sz w:val="21"/>
          <w:szCs w:val="21"/>
        </w:rPr>
        <w:t>总价金额与按单价汇总金额不一致的，以单价金额计算结果为准。</w:t>
      </w:r>
    </w:p>
    <w:p>
      <w:pPr>
        <w:pStyle w:val="34"/>
        <w:numPr>
          <w:ilvl w:val="0"/>
          <w:numId w:val="0"/>
        </w:numPr>
        <w:snapToGrid w:val="0"/>
        <w:spacing w:line="400" w:lineRule="exact"/>
        <w:ind w:left="709"/>
        <w:rPr>
          <w:color w:val="000000"/>
        </w:rPr>
      </w:pPr>
      <w:r>
        <w:rPr>
          <w:rFonts w:hint="eastAsia"/>
          <w:color w:val="000000"/>
        </w:rPr>
        <w:t>同时出现两种以上不一致的，按照前款规定的顺序修正。</w:t>
      </w:r>
    </w:p>
    <w:p>
      <w:pPr>
        <w:pStyle w:val="34"/>
        <w:numPr>
          <w:ilvl w:val="0"/>
          <w:numId w:val="0"/>
        </w:numPr>
        <w:snapToGrid w:val="0"/>
        <w:spacing w:line="400" w:lineRule="exact"/>
        <w:ind w:left="709"/>
        <w:rPr>
          <w:rFonts w:cs="微软雅黑"/>
        </w:rPr>
      </w:pPr>
      <w:r>
        <w:rPr>
          <w:rFonts w:hint="eastAsia" w:cs="微软雅黑"/>
        </w:rPr>
        <w:t>修正后的报价按照本招标文件17.2条的规定经投标人确认后产生约束力，投标人不确认的，其投标无效。</w:t>
      </w:r>
    </w:p>
    <w:p>
      <w:pPr>
        <w:spacing w:line="400" w:lineRule="exact"/>
        <w:rPr>
          <w:rFonts w:ascii="宋体" w:hAnsi="宋体" w:cs="微软雅黑"/>
          <w:color w:val="000000"/>
          <w:sz w:val="21"/>
          <w:szCs w:val="21"/>
        </w:rPr>
      </w:pPr>
    </w:p>
    <w:p>
      <w:pPr>
        <w:pStyle w:val="34"/>
        <w:tabs>
          <w:tab w:val="clear" w:pos="709"/>
        </w:tabs>
        <w:spacing w:line="400" w:lineRule="exact"/>
        <w:rPr>
          <w:rFonts w:cs="微软雅黑"/>
          <w:color w:val="000000"/>
        </w:rPr>
      </w:pPr>
      <w:r>
        <w:rPr>
          <w:rFonts w:hint="eastAsia" w:cs="微软雅黑"/>
          <w:color w:val="000000"/>
        </w:rPr>
        <w:t>电子投标文件的澄清</w:t>
      </w:r>
    </w:p>
    <w:p>
      <w:pPr>
        <w:pStyle w:val="34"/>
        <w:numPr>
          <w:ilvl w:val="1"/>
          <w:numId w:val="2"/>
        </w:numPr>
        <w:spacing w:line="400" w:lineRule="exact"/>
        <w:rPr>
          <w:rFonts w:cs="微软雅黑"/>
          <w:color w:val="000000"/>
        </w:rPr>
      </w:pPr>
      <w:r>
        <w:rPr>
          <w:rFonts w:hint="eastAsia" w:cs="微软雅黑"/>
          <w:color w:val="000000"/>
        </w:rPr>
        <w:t>评标委员会有权要求投标人对电子投标文件中含义不明确、对同类问题表述不一致或者有明显文字和计算错误等内容作必要的澄清、说明或者补正。</w:t>
      </w:r>
    </w:p>
    <w:p>
      <w:pPr>
        <w:pStyle w:val="34"/>
        <w:numPr>
          <w:ilvl w:val="1"/>
          <w:numId w:val="2"/>
        </w:numPr>
        <w:spacing w:line="400" w:lineRule="exact"/>
        <w:rPr>
          <w:rFonts w:cs="微软雅黑"/>
          <w:color w:val="000000"/>
        </w:rPr>
      </w:pPr>
      <w:r>
        <w:rPr>
          <w:rFonts w:hint="eastAsia" w:cs="微软雅黑"/>
          <w:color w:val="000000"/>
        </w:rPr>
        <w:t>投标人的澄清应在评标委员会规定的时间内以书面方式进行，并作为电子投标文件内容的一部分，由其法定代表人或其授权代表签字。澄清、说明或者补正不得超出电子投标文件的范围或者改变电子投标文件的实质性内容。投标人拒不按照要求对电子投标文件进行澄清、说明或者补正的，</w:t>
      </w:r>
      <w:r>
        <w:rPr>
          <w:rFonts w:hint="eastAsia" w:cs="微软雅黑"/>
        </w:rPr>
        <w:t>评标委员会有权将该投标作无效投标处理</w:t>
      </w:r>
      <w:r>
        <w:rPr>
          <w:rFonts w:hint="eastAsia" w:cs="微软雅黑"/>
          <w:color w:val="000000"/>
        </w:rPr>
        <w:t>。</w:t>
      </w:r>
    </w:p>
    <w:p>
      <w:pPr>
        <w:pStyle w:val="34"/>
        <w:numPr>
          <w:ilvl w:val="0"/>
          <w:numId w:val="0"/>
        </w:numPr>
        <w:tabs>
          <w:tab w:val="left" w:pos="420"/>
        </w:tabs>
        <w:spacing w:line="400" w:lineRule="exact"/>
        <w:rPr>
          <w:rFonts w:cs="微软雅黑"/>
          <w:color w:val="000000"/>
        </w:rPr>
      </w:pPr>
    </w:p>
    <w:p>
      <w:pPr>
        <w:pStyle w:val="34"/>
        <w:tabs>
          <w:tab w:val="clear" w:pos="709"/>
        </w:tabs>
        <w:spacing w:line="400" w:lineRule="exact"/>
        <w:rPr>
          <w:rFonts w:cs="微软雅黑"/>
          <w:color w:val="000000"/>
        </w:rPr>
      </w:pPr>
      <w:r>
        <w:rPr>
          <w:rFonts w:hint="eastAsia" w:cs="微软雅黑"/>
          <w:color w:val="000000"/>
        </w:rPr>
        <w:t>对电子投标文件的详细评审</w:t>
      </w:r>
    </w:p>
    <w:p>
      <w:pPr>
        <w:pStyle w:val="34"/>
        <w:numPr>
          <w:ilvl w:val="1"/>
          <w:numId w:val="2"/>
        </w:numPr>
        <w:spacing w:line="400" w:lineRule="exact"/>
        <w:ind w:left="718" w:hanging="718" w:hangingChars="342"/>
        <w:rPr>
          <w:rFonts w:cs="微软雅黑"/>
          <w:color w:val="000000"/>
        </w:rPr>
      </w:pPr>
      <w:r>
        <w:rPr>
          <w:rFonts w:hint="eastAsia" w:cs="微软雅黑"/>
          <w:color w:val="000000"/>
        </w:rPr>
        <w:t>评标委员会对通过资格性和符合性审查的电子投标文件按照</w:t>
      </w:r>
      <w:r>
        <w:rPr>
          <w:rFonts w:hint="eastAsia" w:cs="微软雅黑"/>
          <w:u w:val="single"/>
        </w:rPr>
        <w:t>第五部分 评标标准和评标方法</w:t>
      </w:r>
      <w:r>
        <w:rPr>
          <w:rFonts w:hint="eastAsia" w:cs="微软雅黑"/>
        </w:rPr>
        <w:t>进行综合评审。</w:t>
      </w:r>
    </w:p>
    <w:p>
      <w:pPr>
        <w:pStyle w:val="34"/>
        <w:numPr>
          <w:ilvl w:val="0"/>
          <w:numId w:val="0"/>
        </w:numPr>
        <w:spacing w:line="400" w:lineRule="exact"/>
        <w:ind w:left="718"/>
        <w:rPr>
          <w:rFonts w:cs="微软雅黑"/>
          <w:color w:val="000000"/>
        </w:rPr>
      </w:pPr>
    </w:p>
    <w:p>
      <w:pPr>
        <w:pStyle w:val="34"/>
        <w:tabs>
          <w:tab w:val="clear" w:pos="709"/>
        </w:tabs>
        <w:spacing w:line="400" w:lineRule="exact"/>
        <w:rPr>
          <w:rFonts w:cs="微软雅黑"/>
          <w:color w:val="000000"/>
        </w:rPr>
      </w:pPr>
      <w:r>
        <w:rPr>
          <w:rFonts w:hint="eastAsia" w:cs="微软雅黑"/>
          <w:color w:val="000000"/>
        </w:rPr>
        <w:t>推荐中标候选人及确定中标人</w:t>
      </w:r>
    </w:p>
    <w:p>
      <w:pPr>
        <w:pStyle w:val="34"/>
        <w:numPr>
          <w:ilvl w:val="1"/>
          <w:numId w:val="2"/>
        </w:numPr>
        <w:spacing w:line="400" w:lineRule="exact"/>
        <w:rPr>
          <w:rFonts w:cs="微软雅黑"/>
          <w:color w:val="000000"/>
        </w:rPr>
      </w:pPr>
      <w:r>
        <w:rPr>
          <w:rFonts w:hint="eastAsia" w:cs="微软雅黑"/>
          <w:color w:val="000000"/>
        </w:rPr>
        <w:t>评标委员会根据评标标准进行综合打分及汇总，并按汇总得分由高到低排序（精确到小数点后两位），按顺序推荐中标候选人并出具评审报告。</w:t>
      </w:r>
    </w:p>
    <w:p>
      <w:pPr>
        <w:pStyle w:val="34"/>
        <w:numPr>
          <w:ilvl w:val="1"/>
          <w:numId w:val="2"/>
        </w:numPr>
        <w:spacing w:line="400" w:lineRule="exact"/>
        <w:rPr>
          <w:rFonts w:cs="微软雅黑"/>
          <w:color w:val="000000"/>
        </w:rPr>
      </w:pPr>
      <w:r>
        <w:rPr>
          <w:rFonts w:hint="eastAsia" w:cs="微软雅黑"/>
          <w:color w:val="000000"/>
        </w:rPr>
        <w:t>投标人评分汇总得分相同的，按投标报价由低向高顺序排列。总得分且投标报价相同的，按技术指标优劣顺序排列。</w:t>
      </w:r>
    </w:p>
    <w:p>
      <w:pPr>
        <w:pStyle w:val="34"/>
        <w:numPr>
          <w:ilvl w:val="1"/>
          <w:numId w:val="2"/>
        </w:numPr>
        <w:spacing w:line="400" w:lineRule="exact"/>
        <w:rPr>
          <w:rFonts w:cs="微软雅黑"/>
          <w:color w:val="000000"/>
        </w:rPr>
      </w:pPr>
      <w:r>
        <w:rPr>
          <w:rFonts w:hint="eastAsia" w:cs="微软雅黑"/>
          <w:color w:val="000000"/>
        </w:rPr>
        <w:t>采购人在评审报告推荐的中标候选人中按顺序确定中标人。</w:t>
      </w:r>
    </w:p>
    <w:p>
      <w:pPr>
        <w:pStyle w:val="34"/>
        <w:numPr>
          <w:ilvl w:val="0"/>
          <w:numId w:val="0"/>
        </w:numPr>
        <w:tabs>
          <w:tab w:val="left" w:pos="420"/>
        </w:tabs>
        <w:spacing w:line="400" w:lineRule="exact"/>
        <w:rPr>
          <w:rFonts w:cs="微软雅黑"/>
          <w:color w:val="000000"/>
        </w:rPr>
      </w:pPr>
    </w:p>
    <w:p>
      <w:pPr>
        <w:pStyle w:val="34"/>
        <w:tabs>
          <w:tab w:val="clear" w:pos="709"/>
        </w:tabs>
        <w:spacing w:line="400" w:lineRule="exact"/>
        <w:rPr>
          <w:rFonts w:cs="微软雅黑"/>
        </w:rPr>
      </w:pPr>
      <w:r>
        <w:rPr>
          <w:rFonts w:hint="eastAsia" w:cs="微软雅黑"/>
        </w:rPr>
        <w:t>评标过程要求</w:t>
      </w:r>
    </w:p>
    <w:p>
      <w:pPr>
        <w:pStyle w:val="34"/>
        <w:numPr>
          <w:ilvl w:val="1"/>
          <w:numId w:val="2"/>
        </w:numPr>
        <w:spacing w:line="400" w:lineRule="exact"/>
        <w:rPr>
          <w:rFonts w:cs="微软雅黑"/>
          <w:color w:val="000000"/>
        </w:rPr>
      </w:pPr>
      <w:r>
        <w:rPr>
          <w:rFonts w:hint="eastAsia" w:cs="微软雅黑"/>
          <w:color w:val="000000"/>
        </w:rPr>
        <w:t>在评标期间，投标人企图影响采购中心或评标委员会公正性的任何活动，将导</w:t>
      </w:r>
      <w:r>
        <w:rPr>
          <w:rFonts w:hint="eastAsia" w:cs="微软雅黑"/>
        </w:rPr>
        <w:t>致投标无效</w:t>
      </w:r>
      <w:r>
        <w:rPr>
          <w:rFonts w:hint="eastAsia" w:cs="微软雅黑"/>
          <w:color w:val="000000"/>
        </w:rPr>
        <w:t>，并由其承担相应的法律责任。</w:t>
      </w:r>
    </w:p>
    <w:p>
      <w:pPr>
        <w:pStyle w:val="34"/>
        <w:numPr>
          <w:ilvl w:val="0"/>
          <w:numId w:val="0"/>
        </w:numPr>
        <w:spacing w:line="400" w:lineRule="exact"/>
        <w:ind w:left="709"/>
        <w:rPr>
          <w:rFonts w:cs="微软雅黑"/>
          <w:color w:val="000000"/>
        </w:rPr>
      </w:pPr>
    </w:p>
    <w:p>
      <w:pPr>
        <w:pStyle w:val="34"/>
        <w:tabs>
          <w:tab w:val="clear" w:pos="709"/>
        </w:tabs>
        <w:spacing w:line="400" w:lineRule="exact"/>
        <w:rPr>
          <w:rFonts w:cs="微软雅黑"/>
        </w:rPr>
      </w:pPr>
      <w:r>
        <w:rPr>
          <w:rFonts w:cs="微软雅黑"/>
        </w:rPr>
        <w:t>有下列情形之一的，视为投标人串通投标，其投标无效：</w:t>
      </w:r>
    </w:p>
    <w:p>
      <w:pPr>
        <w:numPr>
          <w:ilvl w:val="0"/>
          <w:numId w:val="19"/>
        </w:numPr>
        <w:snapToGrid w:val="0"/>
        <w:spacing w:line="400" w:lineRule="exact"/>
        <w:rPr>
          <w:rFonts w:ascii="宋体" w:hAnsi="宋体" w:cs="微软雅黑"/>
          <w:sz w:val="21"/>
          <w:szCs w:val="21"/>
        </w:rPr>
      </w:pPr>
      <w:r>
        <w:rPr>
          <w:rFonts w:ascii="宋体" w:hAnsi="宋体" w:cs="微软雅黑"/>
          <w:sz w:val="21"/>
          <w:szCs w:val="21"/>
        </w:rPr>
        <w:t>不同投标人的</w:t>
      </w:r>
      <w:r>
        <w:rPr>
          <w:rFonts w:hint="eastAsia" w:ascii="宋体" w:hAnsi="宋体" w:cs="微软雅黑"/>
          <w:sz w:val="21"/>
          <w:szCs w:val="21"/>
        </w:rPr>
        <w:t>电子</w:t>
      </w:r>
      <w:r>
        <w:rPr>
          <w:rFonts w:ascii="宋体" w:hAnsi="宋体" w:cs="微软雅黑"/>
          <w:sz w:val="21"/>
          <w:szCs w:val="21"/>
        </w:rPr>
        <w:t>投标文件由同一单位或者个人编制；</w:t>
      </w:r>
    </w:p>
    <w:p>
      <w:pPr>
        <w:numPr>
          <w:ilvl w:val="0"/>
          <w:numId w:val="19"/>
        </w:numPr>
        <w:snapToGrid w:val="0"/>
        <w:spacing w:line="400" w:lineRule="exact"/>
        <w:rPr>
          <w:rFonts w:ascii="宋体" w:hAnsi="宋体" w:cs="微软雅黑"/>
          <w:sz w:val="21"/>
          <w:szCs w:val="21"/>
        </w:rPr>
      </w:pPr>
      <w:r>
        <w:rPr>
          <w:rFonts w:ascii="宋体" w:hAnsi="宋体" w:cs="微软雅黑"/>
          <w:sz w:val="21"/>
          <w:szCs w:val="21"/>
        </w:rPr>
        <w:t>不同投标人委托同一单位或者个人办理投标事宜；</w:t>
      </w:r>
    </w:p>
    <w:p>
      <w:pPr>
        <w:numPr>
          <w:ilvl w:val="0"/>
          <w:numId w:val="19"/>
        </w:numPr>
        <w:snapToGrid w:val="0"/>
        <w:spacing w:line="400" w:lineRule="exact"/>
        <w:rPr>
          <w:rFonts w:ascii="宋体" w:hAnsi="宋体" w:cs="微软雅黑"/>
          <w:sz w:val="21"/>
          <w:szCs w:val="21"/>
        </w:rPr>
      </w:pPr>
      <w:r>
        <w:rPr>
          <w:rFonts w:ascii="宋体" w:hAnsi="宋体" w:cs="微软雅黑"/>
          <w:sz w:val="21"/>
          <w:szCs w:val="21"/>
        </w:rPr>
        <w:t>不同投标人的</w:t>
      </w:r>
      <w:r>
        <w:rPr>
          <w:rFonts w:hint="eastAsia" w:ascii="宋体" w:hAnsi="宋体" w:cs="微软雅黑"/>
          <w:sz w:val="21"/>
          <w:szCs w:val="21"/>
        </w:rPr>
        <w:t>电子</w:t>
      </w:r>
      <w:r>
        <w:rPr>
          <w:rFonts w:ascii="宋体" w:hAnsi="宋体" w:cs="微软雅黑"/>
          <w:sz w:val="21"/>
          <w:szCs w:val="21"/>
        </w:rPr>
        <w:t>投标文件载明的项目管理成员或者联系人员为同一人；</w:t>
      </w:r>
    </w:p>
    <w:p>
      <w:pPr>
        <w:numPr>
          <w:ilvl w:val="0"/>
          <w:numId w:val="19"/>
        </w:numPr>
        <w:snapToGrid w:val="0"/>
        <w:spacing w:line="400" w:lineRule="exact"/>
        <w:rPr>
          <w:rFonts w:ascii="宋体" w:hAnsi="宋体" w:cs="微软雅黑"/>
          <w:sz w:val="21"/>
          <w:szCs w:val="21"/>
        </w:rPr>
      </w:pPr>
      <w:r>
        <w:rPr>
          <w:rFonts w:ascii="宋体" w:hAnsi="宋体" w:cs="微软雅黑"/>
          <w:sz w:val="21"/>
          <w:szCs w:val="21"/>
        </w:rPr>
        <w:t>不同投标人的</w:t>
      </w:r>
      <w:r>
        <w:rPr>
          <w:rFonts w:hint="eastAsia" w:ascii="宋体" w:hAnsi="宋体" w:cs="微软雅黑"/>
          <w:sz w:val="21"/>
          <w:szCs w:val="21"/>
        </w:rPr>
        <w:t>电子</w:t>
      </w:r>
      <w:r>
        <w:rPr>
          <w:rFonts w:ascii="宋体" w:hAnsi="宋体" w:cs="微软雅黑"/>
          <w:sz w:val="21"/>
          <w:szCs w:val="21"/>
        </w:rPr>
        <w:t>投标文件异常一致或者投标报价呈规律性差异；</w:t>
      </w:r>
    </w:p>
    <w:p>
      <w:pPr>
        <w:numPr>
          <w:ilvl w:val="0"/>
          <w:numId w:val="19"/>
        </w:numPr>
        <w:snapToGrid w:val="0"/>
        <w:spacing w:line="400" w:lineRule="exact"/>
        <w:rPr>
          <w:rFonts w:ascii="宋体" w:hAnsi="宋体" w:cs="微软雅黑"/>
          <w:sz w:val="21"/>
          <w:szCs w:val="21"/>
        </w:rPr>
      </w:pPr>
      <w:r>
        <w:rPr>
          <w:rFonts w:ascii="宋体" w:hAnsi="宋体" w:cs="微软雅黑"/>
          <w:sz w:val="21"/>
          <w:szCs w:val="21"/>
        </w:rPr>
        <w:t>不同投标人的</w:t>
      </w:r>
      <w:r>
        <w:rPr>
          <w:rFonts w:hint="eastAsia" w:ascii="宋体" w:hAnsi="宋体" w:cs="微软雅黑"/>
          <w:sz w:val="21"/>
          <w:szCs w:val="21"/>
        </w:rPr>
        <w:t>电子</w:t>
      </w:r>
      <w:r>
        <w:rPr>
          <w:rFonts w:ascii="宋体" w:hAnsi="宋体" w:cs="微软雅黑"/>
          <w:sz w:val="21"/>
          <w:szCs w:val="21"/>
        </w:rPr>
        <w:t>投标文件相互混装</w:t>
      </w:r>
      <w:r>
        <w:rPr>
          <w:rFonts w:hint="eastAsia" w:ascii="宋体" w:hAnsi="宋体" w:cs="微软雅黑"/>
          <w:sz w:val="21"/>
          <w:szCs w:val="21"/>
        </w:rPr>
        <w:t>。</w:t>
      </w:r>
    </w:p>
    <w:p>
      <w:pPr>
        <w:pStyle w:val="34"/>
        <w:numPr>
          <w:ilvl w:val="0"/>
          <w:numId w:val="0"/>
        </w:numPr>
        <w:tabs>
          <w:tab w:val="left" w:pos="420"/>
        </w:tabs>
        <w:spacing w:line="400" w:lineRule="exact"/>
        <w:rPr>
          <w:rFonts w:cs="微软雅黑"/>
        </w:rPr>
      </w:pPr>
    </w:p>
    <w:p>
      <w:pPr>
        <w:pStyle w:val="34"/>
        <w:tabs>
          <w:tab w:val="clear" w:pos="709"/>
        </w:tabs>
        <w:spacing w:line="400" w:lineRule="exact"/>
        <w:rPr>
          <w:rFonts w:cs="微软雅黑"/>
        </w:rPr>
      </w:pPr>
      <w:r>
        <w:rPr>
          <w:rFonts w:hint="eastAsia" w:cs="微软雅黑"/>
        </w:rPr>
        <w:t>在招标采购中，出现下列情形之一的，应予废标：</w:t>
      </w:r>
    </w:p>
    <w:p>
      <w:pPr>
        <w:numPr>
          <w:ilvl w:val="0"/>
          <w:numId w:val="20"/>
        </w:numPr>
        <w:snapToGrid w:val="0"/>
        <w:spacing w:line="400" w:lineRule="exact"/>
        <w:rPr>
          <w:rFonts w:ascii="宋体" w:hAnsi="宋体" w:cs="微软雅黑"/>
          <w:sz w:val="21"/>
          <w:szCs w:val="21"/>
        </w:rPr>
      </w:pPr>
      <w:r>
        <w:rPr>
          <w:rFonts w:hint="eastAsia" w:ascii="宋体" w:hAnsi="宋体" w:cs="微软雅黑"/>
          <w:sz w:val="21"/>
          <w:szCs w:val="21"/>
        </w:rPr>
        <w:t>符合专业条件的供应商或者对招标文件作实质响应的供应商不足三家的；</w:t>
      </w:r>
    </w:p>
    <w:p>
      <w:pPr>
        <w:numPr>
          <w:ilvl w:val="0"/>
          <w:numId w:val="20"/>
        </w:numPr>
        <w:snapToGrid w:val="0"/>
        <w:spacing w:line="400" w:lineRule="exact"/>
        <w:rPr>
          <w:rFonts w:ascii="宋体" w:hAnsi="宋体" w:cs="微软雅黑"/>
          <w:sz w:val="21"/>
          <w:szCs w:val="21"/>
        </w:rPr>
      </w:pPr>
      <w:r>
        <w:rPr>
          <w:rFonts w:hint="eastAsia" w:ascii="宋体" w:hAnsi="宋体" w:cs="微软雅黑"/>
          <w:sz w:val="21"/>
          <w:szCs w:val="21"/>
        </w:rPr>
        <w:t>出现影响采购公正的违法、违规行为的；</w:t>
      </w:r>
    </w:p>
    <w:p>
      <w:pPr>
        <w:numPr>
          <w:ilvl w:val="0"/>
          <w:numId w:val="20"/>
        </w:numPr>
        <w:snapToGrid w:val="0"/>
        <w:spacing w:line="400" w:lineRule="exact"/>
        <w:rPr>
          <w:rFonts w:ascii="宋体" w:hAnsi="宋体" w:cs="微软雅黑"/>
          <w:sz w:val="21"/>
          <w:szCs w:val="21"/>
        </w:rPr>
      </w:pPr>
      <w:r>
        <w:rPr>
          <w:rFonts w:hint="eastAsia" w:ascii="宋体" w:hAnsi="宋体" w:cs="微软雅黑"/>
          <w:sz w:val="21"/>
          <w:szCs w:val="21"/>
        </w:rPr>
        <w:t>投标人的报价均超过了采购预算，采购人不能支付的；</w:t>
      </w:r>
    </w:p>
    <w:p>
      <w:pPr>
        <w:numPr>
          <w:ilvl w:val="0"/>
          <w:numId w:val="20"/>
        </w:numPr>
        <w:snapToGrid w:val="0"/>
        <w:spacing w:line="400" w:lineRule="exact"/>
        <w:rPr>
          <w:rFonts w:ascii="宋体" w:hAnsi="宋体" w:cs="微软雅黑"/>
          <w:sz w:val="21"/>
          <w:szCs w:val="21"/>
        </w:rPr>
      </w:pPr>
      <w:r>
        <w:rPr>
          <w:rFonts w:hint="eastAsia" w:ascii="宋体" w:hAnsi="宋体" w:cs="微软雅黑"/>
          <w:sz w:val="21"/>
          <w:szCs w:val="21"/>
        </w:rPr>
        <w:t>因重大变故，采购任务取消的。</w:t>
      </w:r>
    </w:p>
    <w:p>
      <w:pPr>
        <w:tabs>
          <w:tab w:val="left" w:pos="1200"/>
        </w:tabs>
        <w:snapToGrid w:val="0"/>
        <w:spacing w:line="400" w:lineRule="exact"/>
        <w:rPr>
          <w:rFonts w:ascii="宋体" w:hAnsi="宋体" w:cs="微软雅黑"/>
          <w:b/>
          <w:sz w:val="21"/>
          <w:szCs w:val="21"/>
        </w:rPr>
      </w:pPr>
    </w:p>
    <w:p>
      <w:pPr>
        <w:pStyle w:val="4"/>
        <w:spacing w:before="0" w:after="120" w:line="400" w:lineRule="exact"/>
        <w:ind w:left="238"/>
        <w:rPr>
          <w:rFonts w:ascii="宋体" w:hAnsi="宋体" w:eastAsia="宋体" w:cs="微软雅黑"/>
          <w:bCs w:val="0"/>
          <w:sz w:val="21"/>
          <w:szCs w:val="21"/>
        </w:rPr>
      </w:pPr>
      <w:bookmarkStart w:id="59" w:name="_Toc328815998"/>
      <w:r>
        <w:rPr>
          <w:rFonts w:hint="eastAsia" w:ascii="宋体" w:hAnsi="宋体" w:eastAsia="宋体" w:cs="微软雅黑"/>
          <w:bCs w:val="0"/>
          <w:sz w:val="21"/>
          <w:szCs w:val="21"/>
        </w:rPr>
        <w:t>中标、未中标通知</w:t>
      </w:r>
      <w:bookmarkEnd w:id="59"/>
    </w:p>
    <w:p>
      <w:pPr>
        <w:pStyle w:val="34"/>
        <w:tabs>
          <w:tab w:val="clear" w:pos="709"/>
        </w:tabs>
        <w:snapToGrid w:val="0"/>
        <w:spacing w:line="400" w:lineRule="exact"/>
        <w:rPr>
          <w:rFonts w:cs="微软雅黑"/>
        </w:rPr>
      </w:pPr>
      <w:r>
        <w:rPr>
          <w:rFonts w:hint="eastAsia" w:cs="微软雅黑"/>
        </w:rPr>
        <w:t>中标通知</w:t>
      </w:r>
    </w:p>
    <w:p>
      <w:pPr>
        <w:pStyle w:val="34"/>
        <w:numPr>
          <w:ilvl w:val="1"/>
          <w:numId w:val="2"/>
        </w:numPr>
        <w:snapToGrid w:val="0"/>
        <w:spacing w:line="400" w:lineRule="exact"/>
        <w:rPr>
          <w:rFonts w:cs="微软雅黑"/>
        </w:rPr>
      </w:pPr>
      <w:r>
        <w:rPr>
          <w:rFonts w:hint="eastAsia" w:cs="微软雅黑"/>
        </w:rPr>
        <w:t>采购人确定中标人后,采购中心将在采购中心网站及发布本次招标公告的指定媒体上发布中标公告并公示中标人的投标分项报价表，同时以书面形式向中标人发出中标通知书。</w:t>
      </w:r>
    </w:p>
    <w:p>
      <w:pPr>
        <w:pStyle w:val="34"/>
        <w:numPr>
          <w:ilvl w:val="1"/>
          <w:numId w:val="2"/>
        </w:numPr>
        <w:snapToGrid w:val="0"/>
        <w:spacing w:line="400" w:lineRule="exact"/>
        <w:rPr>
          <w:rFonts w:cs="微软雅黑"/>
        </w:rPr>
      </w:pPr>
      <w:r>
        <w:rPr>
          <w:rFonts w:hint="eastAsia" w:cs="微软雅黑"/>
        </w:rPr>
        <w:t>中标通知书是合同的组成部分。</w:t>
      </w:r>
    </w:p>
    <w:p>
      <w:pPr>
        <w:pStyle w:val="34"/>
        <w:numPr>
          <w:ilvl w:val="0"/>
          <w:numId w:val="0"/>
        </w:numPr>
        <w:snapToGrid w:val="0"/>
        <w:spacing w:line="400" w:lineRule="exact"/>
        <w:ind w:left="709"/>
        <w:rPr>
          <w:rFonts w:cs="微软雅黑"/>
        </w:rPr>
      </w:pPr>
    </w:p>
    <w:p>
      <w:pPr>
        <w:pStyle w:val="34"/>
        <w:tabs>
          <w:tab w:val="clear" w:pos="709"/>
        </w:tabs>
        <w:snapToGrid w:val="0"/>
        <w:spacing w:line="400" w:lineRule="exact"/>
        <w:rPr>
          <w:rFonts w:cs="微软雅黑"/>
        </w:rPr>
      </w:pPr>
      <w:r>
        <w:rPr>
          <w:rFonts w:hint="eastAsia" w:cs="微软雅黑"/>
        </w:rPr>
        <w:t>未中标通知</w:t>
      </w:r>
    </w:p>
    <w:p>
      <w:pPr>
        <w:numPr>
          <w:ilvl w:val="1"/>
          <w:numId w:val="2"/>
        </w:numPr>
        <w:spacing w:line="400" w:lineRule="exact"/>
        <w:rPr>
          <w:rFonts w:ascii="宋体" w:hAnsi="宋体" w:cs="微软雅黑"/>
          <w:sz w:val="21"/>
          <w:szCs w:val="21"/>
        </w:rPr>
      </w:pPr>
      <w:r>
        <w:rPr>
          <w:rFonts w:hint="eastAsia" w:ascii="宋体" w:hAnsi="宋体" w:cs="微软雅黑"/>
          <w:sz w:val="21"/>
          <w:szCs w:val="21"/>
        </w:rPr>
        <w:t>中标公告发布后，未中标供应商可致电采购中心咨询本单位未通过资格性和符合性审查原因、评审汇总得分及排序等相关信息。</w:t>
      </w:r>
    </w:p>
    <w:p>
      <w:pPr>
        <w:spacing w:line="400" w:lineRule="exact"/>
        <w:ind w:left="720" w:hanging="720"/>
        <w:rPr>
          <w:rFonts w:ascii="宋体" w:hAnsi="宋体" w:cs="微软雅黑"/>
          <w:color w:val="000000"/>
          <w:sz w:val="21"/>
          <w:szCs w:val="21"/>
        </w:rPr>
      </w:pPr>
    </w:p>
    <w:p>
      <w:pPr>
        <w:pStyle w:val="4"/>
        <w:spacing w:before="0" w:after="120" w:line="400" w:lineRule="exact"/>
        <w:ind w:left="238"/>
        <w:rPr>
          <w:rFonts w:ascii="宋体" w:hAnsi="宋体" w:eastAsia="宋体" w:cs="微软雅黑"/>
          <w:bCs w:val="0"/>
          <w:sz w:val="21"/>
          <w:szCs w:val="21"/>
        </w:rPr>
      </w:pPr>
      <w:r>
        <w:rPr>
          <w:rFonts w:hint="eastAsia" w:ascii="宋体" w:hAnsi="宋体" w:eastAsia="宋体" w:cs="微软雅黑"/>
          <w:bCs w:val="0"/>
          <w:sz w:val="21"/>
          <w:szCs w:val="21"/>
        </w:rPr>
        <w:t>签订合同</w:t>
      </w:r>
    </w:p>
    <w:p>
      <w:pPr>
        <w:pStyle w:val="34"/>
        <w:tabs>
          <w:tab w:val="clear" w:pos="709"/>
        </w:tabs>
        <w:spacing w:line="400" w:lineRule="exact"/>
        <w:rPr>
          <w:rFonts w:cs="微软雅黑"/>
          <w:color w:val="000000"/>
        </w:rPr>
      </w:pPr>
      <w:r>
        <w:rPr>
          <w:rFonts w:hint="eastAsia" w:cs="微软雅黑"/>
          <w:color w:val="000000"/>
        </w:rPr>
        <w:t>签订合同</w:t>
      </w:r>
    </w:p>
    <w:p>
      <w:pPr>
        <w:pStyle w:val="34"/>
        <w:numPr>
          <w:ilvl w:val="1"/>
          <w:numId w:val="2"/>
        </w:numPr>
        <w:spacing w:line="400" w:lineRule="exact"/>
        <w:rPr>
          <w:rFonts w:cs="微软雅黑"/>
          <w:color w:val="000000"/>
        </w:rPr>
      </w:pPr>
      <w:r>
        <w:rPr>
          <w:rFonts w:hint="eastAsia" w:cs="微软雅黑"/>
          <w:color w:val="000000"/>
        </w:rPr>
        <w:t>中标人应在政府采购相关法律法规规定的时间内与采购人签订中标合同。所签订的合同不得对招标文件确定的事项和中标人投标文件作实质性修改。采购人不得向中标人提出任何不合理的要求作为签订合同的条件。</w:t>
      </w:r>
    </w:p>
    <w:p>
      <w:pPr>
        <w:pStyle w:val="34"/>
        <w:numPr>
          <w:ilvl w:val="1"/>
          <w:numId w:val="2"/>
        </w:numPr>
        <w:spacing w:line="400" w:lineRule="exact"/>
        <w:rPr>
          <w:rFonts w:cs="微软雅黑"/>
          <w:color w:val="000000"/>
        </w:rPr>
      </w:pPr>
      <w:r>
        <w:rPr>
          <w:rFonts w:hint="eastAsia" w:cs="微软雅黑"/>
          <w:color w:val="000000"/>
        </w:rPr>
        <w:t>评标过程中的有关澄清、说明或者补正文件的内容均为签订政府采购合同的依据。</w:t>
      </w:r>
    </w:p>
    <w:p>
      <w:pPr>
        <w:pStyle w:val="34"/>
        <w:numPr>
          <w:ilvl w:val="1"/>
          <w:numId w:val="2"/>
        </w:numPr>
        <w:spacing w:line="400" w:lineRule="exact"/>
        <w:rPr>
          <w:rFonts w:cs="微软雅黑"/>
          <w:color w:val="000000"/>
        </w:rPr>
      </w:pPr>
      <w:r>
        <w:rPr>
          <w:rFonts w:hint="eastAsia" w:cs="微软雅黑"/>
          <w:color w:val="000000"/>
        </w:rPr>
        <w:t>因质疑投诉、不可抗力或中标人不能履约等情形，采购人保留按相关政府采购法律法规及评标委员会评审的推荐顺序与其他合格的候选供应商签订合同的权利。</w:t>
      </w:r>
    </w:p>
    <w:p>
      <w:pPr>
        <w:pStyle w:val="34"/>
        <w:numPr>
          <w:ilvl w:val="1"/>
          <w:numId w:val="2"/>
        </w:numPr>
        <w:spacing w:line="400" w:lineRule="exact"/>
        <w:rPr>
          <w:rFonts w:cs="微软雅黑"/>
          <w:color w:val="000000"/>
        </w:rPr>
      </w:pPr>
      <w:r>
        <w:rPr>
          <w:rFonts w:hint="eastAsia" w:cs="微软雅黑"/>
          <w:color w:val="000000"/>
        </w:rPr>
        <w:t>合同签订后交采购中心存档1份。</w:t>
      </w:r>
    </w:p>
    <w:p>
      <w:pPr>
        <w:spacing w:line="400" w:lineRule="exact"/>
        <w:rPr>
          <w:rFonts w:ascii="宋体" w:hAnsi="宋体" w:cs="微软雅黑"/>
          <w:color w:val="000000"/>
          <w:sz w:val="21"/>
          <w:szCs w:val="21"/>
        </w:rPr>
      </w:pPr>
    </w:p>
    <w:p>
      <w:pPr>
        <w:pStyle w:val="4"/>
        <w:spacing w:before="0" w:after="120" w:line="400" w:lineRule="exact"/>
        <w:ind w:left="238"/>
        <w:rPr>
          <w:rFonts w:ascii="宋体" w:hAnsi="宋体" w:eastAsia="宋体" w:cs="微软雅黑"/>
          <w:bCs w:val="0"/>
          <w:sz w:val="21"/>
          <w:szCs w:val="21"/>
        </w:rPr>
      </w:pPr>
      <w:bookmarkStart w:id="60" w:name="_Toc328816000"/>
      <w:r>
        <w:rPr>
          <w:rFonts w:hint="eastAsia" w:ascii="宋体" w:hAnsi="宋体" w:eastAsia="宋体" w:cs="微软雅黑"/>
          <w:bCs w:val="0"/>
          <w:sz w:val="21"/>
          <w:szCs w:val="21"/>
        </w:rPr>
        <w:t>质疑</w:t>
      </w:r>
      <w:bookmarkEnd w:id="60"/>
    </w:p>
    <w:p>
      <w:pPr>
        <w:pStyle w:val="34"/>
        <w:tabs>
          <w:tab w:val="clear" w:pos="709"/>
        </w:tabs>
        <w:spacing w:line="400" w:lineRule="exact"/>
      </w:pPr>
      <w:r>
        <w:rPr>
          <w:rFonts w:hint="eastAsia"/>
        </w:rPr>
        <w:t>质疑</w:t>
      </w:r>
    </w:p>
    <w:p>
      <w:pPr>
        <w:pStyle w:val="34"/>
        <w:numPr>
          <w:ilvl w:val="1"/>
          <w:numId w:val="2"/>
        </w:numPr>
        <w:spacing w:line="400" w:lineRule="exact"/>
        <w:rPr>
          <w:rFonts w:cs="微软雅黑"/>
          <w:color w:val="000000"/>
        </w:rPr>
      </w:pPr>
      <w:bookmarkStart w:id="61" w:name="_Toc328816001"/>
      <w:r>
        <w:rPr>
          <w:rFonts w:hint="eastAsia" w:cs="微软雅黑"/>
          <w:color w:val="000000"/>
        </w:rPr>
        <w:t>供应商认为采购文件、采购过程、中标或者成交结果使自己的权益受到损害的，可以在知道或者应知其权益受到损害之日起7个工作日内，以书面形式提出质疑。</w:t>
      </w:r>
    </w:p>
    <w:p>
      <w:pPr>
        <w:pStyle w:val="34"/>
        <w:numPr>
          <w:ilvl w:val="1"/>
          <w:numId w:val="2"/>
        </w:numPr>
        <w:spacing w:line="400" w:lineRule="exact"/>
        <w:rPr>
          <w:rFonts w:cs="微软雅黑"/>
          <w:color w:val="000000"/>
        </w:rPr>
      </w:pPr>
      <w:r>
        <w:rPr>
          <w:rFonts w:hint="eastAsia" w:cs="微软雅黑"/>
          <w:color w:val="000000"/>
        </w:rPr>
        <w:t>供应商对采购文件中涉及的采购需求、评审标准、合同等由采购人提出的内容及采购结束后采购结果提出质疑的、或供应商提出的质疑事项涉及采购人与采购中心就本项目签署的政府采购委托代理协议中涉及采购人义务事项的，由采购人受理并负责答复；供应商对政府采购法律法规中规定的政府采购组织程序提出质疑的、或供应商提出的质疑事项涉及采购人与采购中心就本项目签署的政府采购委托代理协议中涉及采购中心义务事项的，由采购中心受理并负责答复。</w:t>
      </w:r>
    </w:p>
    <w:p>
      <w:pPr>
        <w:pStyle w:val="34"/>
        <w:numPr>
          <w:ilvl w:val="1"/>
          <w:numId w:val="2"/>
        </w:numPr>
        <w:spacing w:line="400" w:lineRule="exact"/>
        <w:rPr>
          <w:rFonts w:cs="微软雅黑"/>
          <w:color w:val="000000"/>
        </w:rPr>
      </w:pPr>
      <w:r>
        <w:rPr>
          <w:rFonts w:hint="eastAsia" w:cs="微软雅黑"/>
          <w:color w:val="000000"/>
        </w:rPr>
        <w:t>供应商应在法定质疑期内一次性提出针对同一采购程序环节的质疑。</w:t>
      </w:r>
    </w:p>
    <w:p>
      <w:pPr>
        <w:pStyle w:val="34"/>
        <w:numPr>
          <w:ilvl w:val="1"/>
          <w:numId w:val="2"/>
        </w:numPr>
        <w:spacing w:line="400" w:lineRule="exact"/>
        <w:rPr>
          <w:rFonts w:cs="微软雅黑"/>
          <w:color w:val="000000"/>
        </w:rPr>
      </w:pPr>
      <w:r>
        <w:rPr>
          <w:rFonts w:cs="微软雅黑"/>
          <w:color w:val="000000"/>
        </w:rPr>
        <w:t>提出质疑的供应商应当是参与</w:t>
      </w:r>
      <w:r>
        <w:rPr>
          <w:rFonts w:hint="eastAsia" w:cs="微软雅黑"/>
          <w:color w:val="000000"/>
        </w:rPr>
        <w:t>本</w:t>
      </w:r>
      <w:r>
        <w:rPr>
          <w:rFonts w:cs="微软雅黑"/>
          <w:color w:val="000000"/>
        </w:rPr>
        <w:t>项目采购活动的供应商。</w:t>
      </w:r>
    </w:p>
    <w:p>
      <w:pPr>
        <w:pStyle w:val="34"/>
        <w:numPr>
          <w:ilvl w:val="1"/>
          <w:numId w:val="2"/>
        </w:numPr>
        <w:spacing w:line="400" w:lineRule="exact"/>
        <w:rPr>
          <w:rFonts w:cs="微软雅黑"/>
          <w:color w:val="000000"/>
        </w:rPr>
      </w:pPr>
      <w:r>
        <w:rPr>
          <w:rFonts w:hint="eastAsia" w:cs="微软雅黑"/>
          <w:color w:val="000000"/>
        </w:rPr>
        <w:t>以联合体形式参加政府采购活动的，其质疑应当由组成联合体的所有供应商共同提出。</w:t>
      </w:r>
    </w:p>
    <w:p>
      <w:pPr>
        <w:pStyle w:val="34"/>
        <w:numPr>
          <w:ilvl w:val="1"/>
          <w:numId w:val="2"/>
        </w:numPr>
        <w:spacing w:line="400" w:lineRule="exact"/>
        <w:rPr>
          <w:rFonts w:cs="微软雅黑"/>
          <w:color w:val="000000"/>
        </w:rPr>
      </w:pPr>
      <w:bookmarkStart w:id="62" w:name="_Toc356478669"/>
      <w:bookmarkStart w:id="63" w:name="_Toc435830560"/>
      <w:bookmarkStart w:id="64" w:name="_Toc435828258"/>
      <w:r>
        <w:rPr>
          <w:rFonts w:cs="微软雅黑"/>
          <w:color w:val="000000"/>
        </w:rPr>
        <w:t>供应商提出质疑应当提交质疑函和必要的证明材料。质疑函应当包括下列内容：</w:t>
      </w:r>
    </w:p>
    <w:p>
      <w:pPr>
        <w:numPr>
          <w:ilvl w:val="0"/>
          <w:numId w:val="21"/>
        </w:numPr>
        <w:snapToGrid w:val="0"/>
        <w:spacing w:line="400" w:lineRule="exact"/>
        <w:rPr>
          <w:rFonts w:ascii="宋体" w:hAnsi="宋体" w:cs="微软雅黑"/>
          <w:sz w:val="21"/>
          <w:szCs w:val="21"/>
        </w:rPr>
      </w:pPr>
      <w:r>
        <w:rPr>
          <w:rFonts w:ascii="宋体" w:hAnsi="宋体" w:cs="微软雅黑"/>
          <w:sz w:val="21"/>
          <w:szCs w:val="21"/>
        </w:rPr>
        <w:t>供应商的姓名或者名称、地址、邮编、联系人及联系电话；</w:t>
      </w:r>
    </w:p>
    <w:p>
      <w:pPr>
        <w:numPr>
          <w:ilvl w:val="0"/>
          <w:numId w:val="21"/>
        </w:numPr>
        <w:snapToGrid w:val="0"/>
        <w:spacing w:line="400" w:lineRule="exact"/>
        <w:rPr>
          <w:rFonts w:ascii="宋体" w:hAnsi="宋体" w:cs="微软雅黑"/>
          <w:sz w:val="21"/>
          <w:szCs w:val="21"/>
        </w:rPr>
      </w:pPr>
      <w:r>
        <w:rPr>
          <w:rFonts w:ascii="宋体" w:hAnsi="宋体" w:cs="微软雅黑"/>
          <w:sz w:val="21"/>
          <w:szCs w:val="21"/>
        </w:rPr>
        <w:t>质疑项目的名称、编号；</w:t>
      </w:r>
    </w:p>
    <w:p>
      <w:pPr>
        <w:numPr>
          <w:ilvl w:val="0"/>
          <w:numId w:val="21"/>
        </w:numPr>
        <w:snapToGrid w:val="0"/>
        <w:spacing w:line="400" w:lineRule="exact"/>
        <w:rPr>
          <w:rFonts w:ascii="宋体" w:hAnsi="宋体" w:cs="微软雅黑"/>
          <w:sz w:val="21"/>
          <w:szCs w:val="21"/>
        </w:rPr>
      </w:pPr>
      <w:r>
        <w:rPr>
          <w:rFonts w:ascii="宋体" w:hAnsi="宋体" w:cs="微软雅黑"/>
          <w:sz w:val="21"/>
          <w:szCs w:val="21"/>
        </w:rPr>
        <w:t>具体、明确的质疑事项和与质疑事项相关的请求；</w:t>
      </w:r>
    </w:p>
    <w:p>
      <w:pPr>
        <w:numPr>
          <w:ilvl w:val="0"/>
          <w:numId w:val="21"/>
        </w:numPr>
        <w:snapToGrid w:val="0"/>
        <w:spacing w:line="400" w:lineRule="exact"/>
        <w:rPr>
          <w:rFonts w:ascii="宋体" w:hAnsi="宋体" w:cs="微软雅黑"/>
          <w:sz w:val="21"/>
          <w:szCs w:val="21"/>
        </w:rPr>
      </w:pPr>
      <w:r>
        <w:rPr>
          <w:rFonts w:ascii="宋体" w:hAnsi="宋体" w:cs="微软雅黑"/>
          <w:sz w:val="21"/>
          <w:szCs w:val="21"/>
        </w:rPr>
        <w:t>事实依据；</w:t>
      </w:r>
    </w:p>
    <w:p>
      <w:pPr>
        <w:numPr>
          <w:ilvl w:val="0"/>
          <w:numId w:val="21"/>
        </w:numPr>
        <w:snapToGrid w:val="0"/>
        <w:spacing w:line="400" w:lineRule="exact"/>
        <w:rPr>
          <w:rFonts w:ascii="宋体" w:hAnsi="宋体" w:cs="微软雅黑"/>
          <w:sz w:val="21"/>
          <w:szCs w:val="21"/>
        </w:rPr>
      </w:pPr>
      <w:r>
        <w:rPr>
          <w:rFonts w:ascii="宋体" w:hAnsi="宋体" w:cs="微软雅黑"/>
          <w:sz w:val="21"/>
          <w:szCs w:val="21"/>
        </w:rPr>
        <w:t>必要的法律依据；</w:t>
      </w:r>
    </w:p>
    <w:p>
      <w:pPr>
        <w:numPr>
          <w:ilvl w:val="0"/>
          <w:numId w:val="21"/>
        </w:numPr>
        <w:snapToGrid w:val="0"/>
        <w:spacing w:line="400" w:lineRule="exact"/>
        <w:rPr>
          <w:rFonts w:ascii="宋体" w:hAnsi="宋体" w:cs="微软雅黑"/>
          <w:sz w:val="21"/>
          <w:szCs w:val="21"/>
        </w:rPr>
      </w:pPr>
      <w:r>
        <w:rPr>
          <w:rFonts w:ascii="宋体" w:hAnsi="宋体" w:cs="微软雅黑"/>
          <w:sz w:val="21"/>
          <w:szCs w:val="21"/>
        </w:rPr>
        <w:t>提出质疑的日期。</w:t>
      </w:r>
    </w:p>
    <w:p>
      <w:pPr>
        <w:pStyle w:val="34"/>
        <w:numPr>
          <w:ilvl w:val="0"/>
          <w:numId w:val="0"/>
        </w:numPr>
        <w:spacing w:line="400" w:lineRule="exact"/>
        <w:ind w:left="709"/>
        <w:rPr>
          <w:rFonts w:cs="微软雅黑"/>
          <w:color w:val="000000"/>
        </w:rPr>
      </w:pPr>
      <w:r>
        <w:rPr>
          <w:rFonts w:cs="微软雅黑"/>
          <w:color w:val="000000"/>
        </w:rPr>
        <w:t>供应商为自然人的，应当由本人签字；供应商为法人或者其他组织的，应当由法定代表人、主要负责人</w:t>
      </w:r>
      <w:r>
        <w:rPr>
          <w:rFonts w:hint="eastAsia" w:cs="微软雅黑"/>
          <w:color w:val="000000"/>
        </w:rPr>
        <w:t>及</w:t>
      </w:r>
      <w:r>
        <w:rPr>
          <w:rFonts w:cs="微软雅黑"/>
          <w:color w:val="000000"/>
        </w:rPr>
        <w:t>其授权代表签字或者</w:t>
      </w:r>
      <w:r>
        <w:rPr>
          <w:rFonts w:hint="eastAsia" w:cs="微软雅黑"/>
          <w:color w:val="000000"/>
        </w:rPr>
        <w:t>盖章</w:t>
      </w:r>
      <w:r>
        <w:rPr>
          <w:rFonts w:cs="微软雅黑"/>
          <w:color w:val="000000"/>
        </w:rPr>
        <w:t>，并加盖</w:t>
      </w:r>
      <w:r>
        <w:rPr>
          <w:rFonts w:hint="eastAsia" w:cs="微软雅黑"/>
          <w:color w:val="000000"/>
        </w:rPr>
        <w:t>供应商</w:t>
      </w:r>
      <w:r>
        <w:rPr>
          <w:rFonts w:cs="微软雅黑"/>
          <w:color w:val="000000"/>
        </w:rPr>
        <w:t>公章。</w:t>
      </w:r>
    </w:p>
    <w:p>
      <w:pPr>
        <w:pStyle w:val="34"/>
        <w:numPr>
          <w:ilvl w:val="1"/>
          <w:numId w:val="2"/>
        </w:numPr>
        <w:spacing w:line="400" w:lineRule="exact"/>
        <w:rPr>
          <w:rFonts w:cs="微软雅黑"/>
          <w:color w:val="000000"/>
        </w:rPr>
      </w:pPr>
      <w:r>
        <w:rPr>
          <w:rFonts w:cs="微软雅黑"/>
          <w:color w:val="000000"/>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w:t>
      </w:r>
      <w:r>
        <w:rPr>
          <w:rFonts w:hint="eastAsia" w:cs="微软雅黑"/>
          <w:color w:val="000000"/>
        </w:rPr>
        <w:t>盖章</w:t>
      </w:r>
      <w:r>
        <w:rPr>
          <w:rFonts w:cs="微软雅黑"/>
          <w:color w:val="000000"/>
        </w:rPr>
        <w:t>，并加盖</w:t>
      </w:r>
      <w:r>
        <w:rPr>
          <w:rFonts w:hint="eastAsia" w:cs="微软雅黑"/>
          <w:color w:val="000000"/>
        </w:rPr>
        <w:t>供应商</w:t>
      </w:r>
      <w:r>
        <w:rPr>
          <w:rFonts w:cs="微软雅黑"/>
          <w:color w:val="000000"/>
        </w:rPr>
        <w:t>公章。</w:t>
      </w:r>
    </w:p>
    <w:p>
      <w:pPr>
        <w:pStyle w:val="34"/>
        <w:numPr>
          <w:ilvl w:val="0"/>
          <w:numId w:val="0"/>
        </w:numPr>
        <w:spacing w:line="400" w:lineRule="exact"/>
        <w:ind w:left="709"/>
        <w:rPr>
          <w:rFonts w:cs="微软雅黑"/>
          <w:color w:val="000000"/>
        </w:rPr>
      </w:pPr>
      <w:r>
        <w:rPr>
          <w:rFonts w:cs="微软雅黑"/>
          <w:color w:val="000000"/>
        </w:rPr>
        <w:t>代理人提出质疑，应当提交供应商签署的授权委托书</w:t>
      </w:r>
      <w:r>
        <w:rPr>
          <w:rFonts w:hint="eastAsia" w:cs="微软雅黑"/>
          <w:color w:val="000000"/>
        </w:rPr>
        <w:t>原件</w:t>
      </w:r>
      <w:r>
        <w:rPr>
          <w:rFonts w:cs="微软雅黑"/>
          <w:color w:val="000000"/>
        </w:rPr>
        <w:t>。</w:t>
      </w:r>
    </w:p>
    <w:p>
      <w:pPr>
        <w:pStyle w:val="34"/>
        <w:numPr>
          <w:ilvl w:val="1"/>
          <w:numId w:val="2"/>
        </w:numPr>
        <w:spacing w:line="400" w:lineRule="exact"/>
        <w:rPr>
          <w:rFonts w:cs="微软雅黑"/>
          <w:color w:val="000000"/>
        </w:rPr>
      </w:pPr>
      <w:r>
        <w:rPr>
          <w:rFonts w:hint="eastAsia" w:cs="微软雅黑"/>
          <w:color w:val="000000"/>
        </w:rPr>
        <w:t>供应商提出质疑的须按招标文件规定格式由法定代表人或其授权代表当面提交质疑函原件（由授权代表提交的，还须提交供应商签署的授权委托书原件），并出示法定代表人或其授权代表的身份证原件。</w:t>
      </w:r>
    </w:p>
    <w:p>
      <w:pPr>
        <w:pStyle w:val="34"/>
        <w:numPr>
          <w:ilvl w:val="1"/>
          <w:numId w:val="2"/>
        </w:numPr>
        <w:spacing w:line="400" w:lineRule="exact"/>
        <w:rPr>
          <w:rFonts w:cs="微软雅黑"/>
          <w:color w:val="000000"/>
        </w:rPr>
      </w:pPr>
      <w:r>
        <w:rPr>
          <w:rFonts w:hint="eastAsia" w:cs="微软雅黑"/>
          <w:color w:val="000000"/>
        </w:rPr>
        <w:t>供应商不得进行虚假、恶意的质疑，不得扰乱政府采购正常的工作秩序。</w:t>
      </w:r>
    </w:p>
    <w:bookmarkEnd w:id="62"/>
    <w:bookmarkEnd w:id="63"/>
    <w:bookmarkEnd w:id="64"/>
    <w:p>
      <w:pPr>
        <w:pStyle w:val="34"/>
        <w:numPr>
          <w:ilvl w:val="1"/>
          <w:numId w:val="2"/>
        </w:numPr>
        <w:spacing w:line="400" w:lineRule="exact"/>
        <w:rPr>
          <w:rFonts w:cs="微软雅黑"/>
          <w:color w:val="000000"/>
        </w:rPr>
      </w:pPr>
      <w:bookmarkStart w:id="65" w:name="_Toc356478670"/>
      <w:bookmarkStart w:id="66" w:name="_Toc435828259"/>
      <w:bookmarkStart w:id="67" w:name="_Toc435830561"/>
      <w:r>
        <w:rPr>
          <w:rFonts w:hint="eastAsia" w:cs="微软雅黑"/>
          <w:color w:val="000000"/>
        </w:rPr>
        <w:t>不符合上述26.2-26.9条规定的质疑函不予受理。</w:t>
      </w:r>
      <w:bookmarkEnd w:id="65"/>
      <w:bookmarkEnd w:id="66"/>
      <w:bookmarkEnd w:id="67"/>
    </w:p>
    <w:p>
      <w:pPr>
        <w:pStyle w:val="34"/>
        <w:numPr>
          <w:ilvl w:val="1"/>
          <w:numId w:val="2"/>
        </w:numPr>
        <w:spacing w:line="400" w:lineRule="exact"/>
        <w:rPr>
          <w:rFonts w:cs="微软雅黑"/>
          <w:color w:val="000000"/>
        </w:rPr>
      </w:pPr>
      <w:bookmarkStart w:id="68" w:name="_Toc356478671"/>
      <w:bookmarkStart w:id="69" w:name="_Toc435830562"/>
      <w:bookmarkStart w:id="70" w:name="_Toc435828260"/>
      <w:r>
        <w:rPr>
          <w:rFonts w:hint="eastAsia" w:cs="微软雅黑"/>
          <w:color w:val="000000"/>
        </w:rPr>
        <w:t>供应商如果捏造事实、提供虚假材料或者以非法手段取得证明材料进行质疑的，或在质疑过程中采取不正当手段诋毁、排挤其他供应商的，将报请有关部门查处。如情况属实，将列入不良行为记录名单，在一至三年内禁止参加政府采购活动等处罚，情节严重的，吊销营业执照，构成犯罪的，依法追究刑事责任。</w:t>
      </w:r>
      <w:bookmarkEnd w:id="68"/>
      <w:bookmarkEnd w:id="69"/>
      <w:bookmarkEnd w:id="70"/>
    </w:p>
    <w:p>
      <w:pPr>
        <w:pStyle w:val="34"/>
        <w:numPr>
          <w:ilvl w:val="0"/>
          <w:numId w:val="0"/>
        </w:numPr>
        <w:spacing w:line="400" w:lineRule="exact"/>
        <w:rPr>
          <w:rStyle w:val="47"/>
          <w:b w:val="0"/>
          <w:bCs w:val="0"/>
          <w:kern w:val="2"/>
          <w:sz w:val="21"/>
          <w:szCs w:val="21"/>
        </w:rPr>
      </w:pPr>
      <w:r>
        <w:rPr>
          <w:rFonts w:cs="微软雅黑"/>
          <w:color w:val="000000"/>
        </w:rPr>
        <w:br w:type="page"/>
      </w:r>
      <w:r>
        <w:rPr>
          <w:rStyle w:val="47"/>
          <w:rFonts w:hint="eastAsia"/>
          <w:b w:val="0"/>
          <w:bCs w:val="0"/>
          <w:kern w:val="2"/>
          <w:sz w:val="21"/>
          <w:szCs w:val="21"/>
        </w:rPr>
        <w:t>质疑函格式：</w:t>
      </w:r>
    </w:p>
    <w:p>
      <w:pPr>
        <w:rPr>
          <w:rStyle w:val="47"/>
          <w:rFonts w:ascii="宋体" w:hAnsi="宋体"/>
          <w:b w:val="0"/>
          <w:bCs w:val="0"/>
          <w:kern w:val="2"/>
          <w:sz w:val="21"/>
          <w:szCs w:val="21"/>
        </w:rPr>
      </w:pPr>
    </w:p>
    <w:p>
      <w:pPr>
        <w:jc w:val="center"/>
        <w:rPr>
          <w:rFonts w:ascii="宋体" w:hAnsi="宋体" w:cs="仿宋_GB2312"/>
          <w:b/>
          <w:sz w:val="21"/>
          <w:szCs w:val="21"/>
        </w:rPr>
      </w:pPr>
      <w:r>
        <w:rPr>
          <w:rFonts w:hint="eastAsia" w:ascii="宋体" w:hAnsi="宋体" w:cs="仿宋_GB2312"/>
          <w:b/>
          <w:sz w:val="21"/>
          <w:szCs w:val="21"/>
        </w:rPr>
        <w:t>政府采购项目质疑函</w:t>
      </w:r>
    </w:p>
    <w:p>
      <w:pPr>
        <w:pStyle w:val="34"/>
        <w:numPr>
          <w:ilvl w:val="0"/>
          <w:numId w:val="0"/>
        </w:numPr>
        <w:spacing w:line="400" w:lineRule="exact"/>
        <w:rPr>
          <w:rFonts w:cs="微软雅黑"/>
          <w:color w:val="000000"/>
        </w:rPr>
      </w:pPr>
    </w:p>
    <w:p>
      <w:pPr>
        <w:snapToGrid w:val="0"/>
        <w:spacing w:before="312" w:beforeLines="100" w:line="360" w:lineRule="auto"/>
        <w:rPr>
          <w:rFonts w:ascii="宋体" w:hAnsi="宋体" w:cs="仿宋"/>
          <w:b/>
          <w:bCs/>
          <w:sz w:val="21"/>
          <w:szCs w:val="21"/>
        </w:rPr>
      </w:pPr>
      <w:r>
        <w:rPr>
          <w:rFonts w:hint="eastAsia" w:ascii="宋体" w:hAnsi="宋体" w:cs="仿宋"/>
          <w:b/>
          <w:bCs/>
          <w:sz w:val="21"/>
          <w:szCs w:val="21"/>
        </w:rPr>
        <w:t>一、质疑供应商基本信息</w:t>
      </w:r>
    </w:p>
    <w:p>
      <w:pPr>
        <w:snapToGrid w:val="0"/>
        <w:spacing w:line="360" w:lineRule="auto"/>
        <w:rPr>
          <w:rFonts w:ascii="宋体" w:hAnsi="宋体" w:cs="仿宋"/>
          <w:sz w:val="21"/>
          <w:szCs w:val="21"/>
          <w:u w:val="dotted"/>
        </w:rPr>
      </w:pPr>
      <w:r>
        <w:rPr>
          <w:rFonts w:hint="eastAsia" w:ascii="宋体" w:hAnsi="宋体" w:cs="仿宋"/>
          <w:sz w:val="21"/>
          <w:szCs w:val="21"/>
        </w:rPr>
        <w:t>质疑供应商名称：</w:t>
      </w:r>
      <w:r>
        <w:rPr>
          <w:rFonts w:ascii="宋体" w:hAnsi="宋体"/>
          <w:sz w:val="21"/>
          <w:szCs w:val="21"/>
          <w:u w:val="single"/>
        </w:rPr>
        <w:t xml:space="preserve">             </w:t>
      </w:r>
    </w:p>
    <w:p>
      <w:pPr>
        <w:snapToGrid w:val="0"/>
        <w:spacing w:line="360" w:lineRule="auto"/>
        <w:rPr>
          <w:rFonts w:ascii="宋体" w:hAnsi="宋体" w:cs="仿宋"/>
          <w:sz w:val="21"/>
          <w:szCs w:val="21"/>
          <w:u w:val="dotted"/>
        </w:rPr>
      </w:pPr>
      <w:r>
        <w:rPr>
          <w:rFonts w:hint="eastAsia" w:ascii="宋体" w:hAnsi="宋体" w:cs="仿宋"/>
          <w:sz w:val="21"/>
          <w:szCs w:val="21"/>
        </w:rPr>
        <w:t>地址：</w:t>
      </w:r>
      <w:r>
        <w:rPr>
          <w:rFonts w:ascii="宋体" w:hAnsi="宋体"/>
          <w:sz w:val="21"/>
          <w:szCs w:val="21"/>
          <w:u w:val="single"/>
        </w:rPr>
        <w:t xml:space="preserve">             </w:t>
      </w:r>
    </w:p>
    <w:p>
      <w:pPr>
        <w:snapToGrid w:val="0"/>
        <w:spacing w:line="360" w:lineRule="auto"/>
        <w:rPr>
          <w:rFonts w:ascii="宋体" w:hAnsi="宋体" w:cs="仿宋"/>
          <w:sz w:val="21"/>
          <w:szCs w:val="21"/>
        </w:rPr>
      </w:pPr>
      <w:r>
        <w:rPr>
          <w:rFonts w:hint="eastAsia" w:ascii="宋体" w:hAnsi="宋体" w:cs="仿宋"/>
          <w:sz w:val="21"/>
          <w:szCs w:val="21"/>
        </w:rPr>
        <w:t>邮编：</w:t>
      </w:r>
      <w:r>
        <w:rPr>
          <w:rFonts w:ascii="宋体" w:hAnsi="宋体"/>
          <w:sz w:val="21"/>
          <w:szCs w:val="21"/>
          <w:u w:val="single"/>
        </w:rPr>
        <w:t xml:space="preserve">             </w:t>
      </w:r>
    </w:p>
    <w:p>
      <w:pPr>
        <w:snapToGrid w:val="0"/>
        <w:spacing w:line="360" w:lineRule="auto"/>
        <w:rPr>
          <w:rFonts w:ascii="宋体" w:hAnsi="宋体" w:cs="仿宋"/>
          <w:sz w:val="21"/>
          <w:szCs w:val="21"/>
          <w:u w:val="dotted"/>
        </w:rPr>
      </w:pPr>
      <w:r>
        <w:rPr>
          <w:rFonts w:hint="eastAsia" w:ascii="宋体" w:hAnsi="宋体" w:cs="仿宋"/>
          <w:sz w:val="21"/>
          <w:szCs w:val="21"/>
        </w:rPr>
        <w:t>法定代表人：</w:t>
      </w:r>
      <w:r>
        <w:rPr>
          <w:rFonts w:ascii="宋体" w:hAnsi="宋体"/>
          <w:sz w:val="21"/>
          <w:szCs w:val="21"/>
          <w:u w:val="single"/>
        </w:rPr>
        <w:t xml:space="preserve">             </w:t>
      </w:r>
    </w:p>
    <w:p>
      <w:pPr>
        <w:snapToGrid w:val="0"/>
        <w:spacing w:line="360" w:lineRule="auto"/>
        <w:rPr>
          <w:rFonts w:ascii="宋体" w:hAnsi="宋体" w:cs="仿宋"/>
          <w:sz w:val="21"/>
          <w:szCs w:val="21"/>
        </w:rPr>
      </w:pPr>
      <w:r>
        <w:rPr>
          <w:rFonts w:hint="eastAsia" w:ascii="宋体" w:hAnsi="宋体" w:cs="仿宋"/>
          <w:sz w:val="21"/>
          <w:szCs w:val="21"/>
        </w:rPr>
        <w:t>联系电话：</w:t>
      </w:r>
      <w:r>
        <w:rPr>
          <w:rFonts w:ascii="宋体" w:hAnsi="宋体"/>
          <w:sz w:val="21"/>
          <w:szCs w:val="21"/>
          <w:u w:val="single"/>
        </w:rPr>
        <w:t xml:space="preserve">             </w:t>
      </w:r>
    </w:p>
    <w:p>
      <w:pPr>
        <w:snapToGrid w:val="0"/>
        <w:spacing w:line="360" w:lineRule="auto"/>
        <w:rPr>
          <w:rFonts w:ascii="宋体" w:hAnsi="宋体" w:cs="仿宋"/>
          <w:sz w:val="21"/>
          <w:szCs w:val="21"/>
          <w:u w:val="dotted"/>
        </w:rPr>
      </w:pPr>
      <w:r>
        <w:rPr>
          <w:rFonts w:hint="eastAsia" w:ascii="宋体" w:hAnsi="宋体" w:cs="仿宋"/>
          <w:sz w:val="21"/>
          <w:szCs w:val="21"/>
        </w:rPr>
        <w:t>授权代表：</w:t>
      </w:r>
      <w:r>
        <w:rPr>
          <w:rFonts w:ascii="宋体" w:hAnsi="宋体"/>
          <w:sz w:val="21"/>
          <w:szCs w:val="21"/>
          <w:u w:val="single"/>
        </w:rPr>
        <w:t xml:space="preserve">             </w:t>
      </w:r>
    </w:p>
    <w:p>
      <w:pPr>
        <w:snapToGrid w:val="0"/>
        <w:spacing w:line="360" w:lineRule="auto"/>
        <w:rPr>
          <w:rFonts w:ascii="宋体" w:hAnsi="宋体" w:cs="仿宋"/>
          <w:sz w:val="21"/>
          <w:szCs w:val="21"/>
        </w:rPr>
      </w:pPr>
      <w:r>
        <w:rPr>
          <w:rFonts w:hint="eastAsia" w:ascii="宋体" w:hAnsi="宋体" w:cs="仿宋"/>
          <w:sz w:val="21"/>
          <w:szCs w:val="21"/>
        </w:rPr>
        <w:t>手机：</w:t>
      </w:r>
      <w:r>
        <w:rPr>
          <w:rFonts w:ascii="宋体" w:hAnsi="宋体"/>
          <w:sz w:val="21"/>
          <w:szCs w:val="21"/>
          <w:u w:val="single"/>
        </w:rPr>
        <w:t xml:space="preserve">             </w:t>
      </w:r>
    </w:p>
    <w:p>
      <w:pPr>
        <w:snapToGrid w:val="0"/>
        <w:spacing w:line="360" w:lineRule="auto"/>
        <w:rPr>
          <w:rFonts w:ascii="宋体" w:hAnsi="宋体" w:cs="仿宋"/>
          <w:sz w:val="21"/>
          <w:szCs w:val="21"/>
        </w:rPr>
      </w:pPr>
      <w:r>
        <w:rPr>
          <w:rFonts w:hint="eastAsia" w:ascii="宋体" w:hAnsi="宋体" w:cs="仿宋"/>
          <w:sz w:val="21"/>
          <w:szCs w:val="21"/>
        </w:rPr>
        <w:t>传真：</w:t>
      </w:r>
      <w:r>
        <w:rPr>
          <w:rFonts w:ascii="宋体" w:hAnsi="宋体"/>
          <w:sz w:val="21"/>
          <w:szCs w:val="21"/>
          <w:u w:val="single"/>
        </w:rPr>
        <w:t xml:space="preserve">             </w:t>
      </w:r>
      <w:r>
        <w:rPr>
          <w:rFonts w:hint="eastAsia" w:ascii="宋体" w:hAnsi="宋体" w:cs="仿宋"/>
          <w:sz w:val="21"/>
          <w:szCs w:val="21"/>
        </w:rPr>
        <w:t xml:space="preserve">             </w:t>
      </w:r>
    </w:p>
    <w:p>
      <w:pPr>
        <w:snapToGrid w:val="0"/>
        <w:spacing w:line="360" w:lineRule="auto"/>
        <w:rPr>
          <w:rFonts w:ascii="宋体" w:hAnsi="宋体" w:cs="仿宋"/>
          <w:b/>
          <w:bCs/>
          <w:sz w:val="21"/>
          <w:szCs w:val="21"/>
        </w:rPr>
      </w:pPr>
      <w:r>
        <w:rPr>
          <w:rFonts w:hint="eastAsia" w:ascii="宋体" w:hAnsi="宋体" w:cs="仿宋"/>
          <w:b/>
          <w:bCs/>
          <w:sz w:val="21"/>
          <w:szCs w:val="21"/>
        </w:rPr>
        <w:t>二、质疑项目基本情况</w:t>
      </w:r>
    </w:p>
    <w:p>
      <w:pPr>
        <w:snapToGrid w:val="0"/>
        <w:spacing w:line="360" w:lineRule="auto"/>
        <w:rPr>
          <w:rFonts w:ascii="宋体" w:hAnsi="宋体" w:cs="仿宋"/>
          <w:sz w:val="21"/>
          <w:szCs w:val="21"/>
        </w:rPr>
      </w:pPr>
      <w:r>
        <w:rPr>
          <w:rFonts w:hint="eastAsia" w:ascii="宋体" w:hAnsi="宋体" w:cs="仿宋"/>
          <w:sz w:val="21"/>
          <w:szCs w:val="21"/>
        </w:rPr>
        <w:t>质疑项目的名称：</w:t>
      </w:r>
      <w:r>
        <w:rPr>
          <w:rFonts w:ascii="宋体" w:hAnsi="宋体"/>
          <w:sz w:val="21"/>
          <w:szCs w:val="21"/>
          <w:u w:val="single"/>
        </w:rPr>
        <w:t xml:space="preserve">             </w:t>
      </w:r>
    </w:p>
    <w:p>
      <w:pPr>
        <w:snapToGrid w:val="0"/>
        <w:spacing w:line="360" w:lineRule="auto"/>
        <w:rPr>
          <w:rFonts w:ascii="宋体" w:hAnsi="宋体" w:cs="仿宋"/>
          <w:sz w:val="21"/>
          <w:szCs w:val="21"/>
          <w:u w:val="dotted"/>
        </w:rPr>
      </w:pPr>
      <w:r>
        <w:rPr>
          <w:rFonts w:hint="eastAsia" w:ascii="宋体" w:hAnsi="宋体" w:cs="仿宋"/>
          <w:sz w:val="21"/>
          <w:szCs w:val="21"/>
        </w:rPr>
        <w:t>质疑项目的采购编号：</w:t>
      </w:r>
      <w:r>
        <w:rPr>
          <w:rFonts w:ascii="宋体" w:hAnsi="宋体"/>
          <w:sz w:val="21"/>
          <w:szCs w:val="21"/>
          <w:u w:val="single"/>
        </w:rPr>
        <w:t xml:space="preserve">             </w:t>
      </w:r>
    </w:p>
    <w:p>
      <w:pPr>
        <w:snapToGrid w:val="0"/>
        <w:spacing w:line="360" w:lineRule="auto"/>
        <w:rPr>
          <w:rFonts w:ascii="宋体" w:hAnsi="宋体" w:cs="仿宋"/>
          <w:sz w:val="21"/>
          <w:szCs w:val="21"/>
        </w:rPr>
      </w:pPr>
      <w:r>
        <w:rPr>
          <w:rFonts w:hint="eastAsia" w:ascii="宋体" w:hAnsi="宋体" w:cs="仿宋"/>
          <w:sz w:val="21"/>
          <w:szCs w:val="21"/>
        </w:rPr>
        <w:t>包号：</w:t>
      </w:r>
      <w:r>
        <w:rPr>
          <w:rFonts w:ascii="宋体" w:hAnsi="宋体"/>
          <w:sz w:val="21"/>
          <w:szCs w:val="21"/>
          <w:u w:val="single"/>
        </w:rPr>
        <w:t xml:space="preserve">             </w:t>
      </w:r>
    </w:p>
    <w:p>
      <w:pPr>
        <w:snapToGrid w:val="0"/>
        <w:spacing w:line="360" w:lineRule="auto"/>
        <w:rPr>
          <w:rFonts w:ascii="宋体" w:hAnsi="宋体" w:cs="仿宋"/>
          <w:sz w:val="21"/>
          <w:szCs w:val="21"/>
        </w:rPr>
      </w:pPr>
      <w:r>
        <w:rPr>
          <w:rFonts w:hint="eastAsia" w:ascii="宋体" w:hAnsi="宋体" w:cs="仿宋"/>
          <w:sz w:val="21"/>
          <w:szCs w:val="21"/>
        </w:rPr>
        <w:t>采购文件获取日期：</w:t>
      </w:r>
      <w:r>
        <w:rPr>
          <w:rFonts w:ascii="宋体" w:hAnsi="宋体"/>
          <w:sz w:val="21"/>
          <w:szCs w:val="21"/>
          <w:u w:val="single"/>
        </w:rPr>
        <w:t xml:space="preserve">             </w:t>
      </w:r>
      <w:r>
        <w:rPr>
          <w:rFonts w:hint="eastAsia" w:ascii="宋体" w:hAnsi="宋体" w:cs="仿宋"/>
          <w:sz w:val="21"/>
          <w:szCs w:val="21"/>
        </w:rPr>
        <w:t xml:space="preserve">                                           </w:t>
      </w:r>
    </w:p>
    <w:p>
      <w:pPr>
        <w:snapToGrid w:val="0"/>
        <w:spacing w:line="360" w:lineRule="auto"/>
        <w:rPr>
          <w:rFonts w:ascii="宋体" w:hAnsi="宋体" w:cs="仿宋"/>
          <w:sz w:val="21"/>
          <w:szCs w:val="21"/>
        </w:rPr>
      </w:pPr>
      <w:r>
        <w:rPr>
          <w:rFonts w:hint="eastAsia" w:ascii="宋体" w:hAnsi="宋体" w:cs="仿宋"/>
          <w:sz w:val="21"/>
          <w:szCs w:val="21"/>
        </w:rPr>
        <w:t>质疑事项分类：</w:t>
      </w:r>
    </w:p>
    <w:p>
      <w:pPr>
        <w:snapToGrid w:val="0"/>
        <w:spacing w:line="360" w:lineRule="auto"/>
        <w:rPr>
          <w:rFonts w:ascii="宋体" w:hAnsi="宋体" w:cs="仿宋"/>
          <w:sz w:val="21"/>
          <w:szCs w:val="21"/>
        </w:rPr>
      </w:pPr>
      <w:r>
        <w:rPr>
          <w:rFonts w:hint="eastAsia" w:ascii="宋体" w:hAnsi="宋体" w:cs="仿宋"/>
          <w:sz w:val="21"/>
          <w:szCs w:val="21"/>
        </w:rPr>
        <w:t xml:space="preserve">□采购文件    </w:t>
      </w:r>
    </w:p>
    <w:p>
      <w:pPr>
        <w:snapToGrid w:val="0"/>
        <w:spacing w:line="360" w:lineRule="auto"/>
        <w:rPr>
          <w:rFonts w:ascii="宋体" w:hAnsi="宋体" w:cs="仿宋"/>
          <w:sz w:val="21"/>
          <w:szCs w:val="21"/>
        </w:rPr>
      </w:pPr>
      <w:r>
        <w:rPr>
          <w:rFonts w:hint="eastAsia" w:ascii="宋体" w:hAnsi="宋体" w:cs="仿宋"/>
          <w:sz w:val="21"/>
          <w:szCs w:val="21"/>
        </w:rPr>
        <w:t xml:space="preserve">□采购过程    </w:t>
      </w:r>
    </w:p>
    <w:p>
      <w:pPr>
        <w:snapToGrid w:val="0"/>
        <w:spacing w:line="360" w:lineRule="auto"/>
        <w:rPr>
          <w:rFonts w:ascii="宋体" w:hAnsi="宋体" w:cs="仿宋"/>
          <w:sz w:val="21"/>
          <w:szCs w:val="21"/>
        </w:rPr>
      </w:pPr>
      <w:r>
        <w:rPr>
          <w:rFonts w:hint="eastAsia" w:ascii="宋体" w:hAnsi="宋体" w:cs="仿宋"/>
          <w:sz w:val="21"/>
          <w:szCs w:val="21"/>
        </w:rPr>
        <w:t xml:space="preserve">□中标、成交结果    </w:t>
      </w:r>
    </w:p>
    <w:p>
      <w:pPr>
        <w:snapToGrid w:val="0"/>
        <w:spacing w:line="360" w:lineRule="auto"/>
        <w:rPr>
          <w:rFonts w:ascii="宋体" w:hAnsi="宋体" w:cs="仿宋"/>
          <w:sz w:val="21"/>
          <w:szCs w:val="21"/>
        </w:rPr>
      </w:pPr>
      <w:r>
        <w:rPr>
          <w:rFonts w:hint="eastAsia" w:ascii="宋体" w:hAnsi="宋体" w:cs="仿宋"/>
          <w:sz w:val="21"/>
          <w:szCs w:val="21"/>
        </w:rPr>
        <w:t>□采购执行程序</w:t>
      </w:r>
    </w:p>
    <w:p>
      <w:pPr>
        <w:snapToGrid w:val="0"/>
        <w:spacing w:line="360" w:lineRule="auto"/>
        <w:rPr>
          <w:rFonts w:ascii="宋体" w:hAnsi="宋体" w:cs="仿宋"/>
          <w:sz w:val="21"/>
          <w:szCs w:val="21"/>
        </w:rPr>
      </w:pPr>
      <w:r>
        <w:rPr>
          <w:rFonts w:hint="eastAsia" w:ascii="宋体" w:hAnsi="宋体" w:cs="仿宋"/>
          <w:sz w:val="21"/>
          <w:szCs w:val="21"/>
        </w:rPr>
        <w:t>□上述四项之外的其他事项</w:t>
      </w:r>
    </w:p>
    <w:p>
      <w:pPr>
        <w:snapToGrid w:val="0"/>
        <w:spacing w:line="360" w:lineRule="auto"/>
        <w:rPr>
          <w:rFonts w:ascii="宋体" w:hAnsi="宋体" w:cs="仿宋"/>
          <w:b/>
          <w:bCs/>
          <w:sz w:val="21"/>
          <w:szCs w:val="21"/>
        </w:rPr>
      </w:pPr>
      <w:r>
        <w:rPr>
          <w:rFonts w:hint="eastAsia" w:ascii="宋体" w:hAnsi="宋体" w:cs="仿宋"/>
          <w:b/>
          <w:bCs/>
          <w:sz w:val="21"/>
          <w:szCs w:val="21"/>
        </w:rPr>
        <w:t>三、质疑事项具体内容</w:t>
      </w:r>
    </w:p>
    <w:p>
      <w:pPr>
        <w:snapToGrid w:val="0"/>
        <w:spacing w:line="360" w:lineRule="auto"/>
        <w:rPr>
          <w:rFonts w:ascii="宋体" w:hAnsi="宋体" w:cs="仿宋"/>
          <w:sz w:val="21"/>
          <w:szCs w:val="21"/>
          <w:u w:val="dotted"/>
        </w:rPr>
      </w:pPr>
      <w:r>
        <w:rPr>
          <w:rFonts w:hint="eastAsia" w:ascii="宋体" w:hAnsi="宋体" w:cs="仿宋"/>
          <w:sz w:val="21"/>
          <w:szCs w:val="21"/>
        </w:rPr>
        <w:t>质疑事项1：</w:t>
      </w:r>
      <w:r>
        <w:rPr>
          <w:rFonts w:ascii="宋体" w:hAnsi="宋体"/>
          <w:sz w:val="21"/>
          <w:szCs w:val="21"/>
          <w:u w:val="single"/>
        </w:rPr>
        <w:t xml:space="preserve">             </w:t>
      </w:r>
    </w:p>
    <w:p>
      <w:pPr>
        <w:snapToGrid w:val="0"/>
        <w:spacing w:line="360" w:lineRule="auto"/>
        <w:rPr>
          <w:rFonts w:ascii="宋体" w:hAnsi="宋体" w:cs="仿宋"/>
          <w:sz w:val="21"/>
          <w:szCs w:val="21"/>
          <w:u w:val="dotted"/>
        </w:rPr>
      </w:pPr>
      <w:r>
        <w:rPr>
          <w:rFonts w:hint="eastAsia" w:ascii="宋体" w:hAnsi="宋体" w:cs="仿宋"/>
          <w:sz w:val="21"/>
          <w:szCs w:val="21"/>
        </w:rPr>
        <w:t>事实依据：</w:t>
      </w:r>
      <w:r>
        <w:rPr>
          <w:rFonts w:ascii="宋体" w:hAnsi="宋体"/>
          <w:sz w:val="21"/>
          <w:szCs w:val="21"/>
          <w:u w:val="single"/>
        </w:rPr>
        <w:t xml:space="preserve">             </w:t>
      </w:r>
    </w:p>
    <w:p>
      <w:pPr>
        <w:snapToGrid w:val="0"/>
        <w:spacing w:line="360" w:lineRule="auto"/>
        <w:rPr>
          <w:rFonts w:ascii="宋体" w:hAnsi="宋体" w:cs="仿宋"/>
          <w:sz w:val="21"/>
          <w:szCs w:val="21"/>
          <w:u w:val="dotted"/>
        </w:rPr>
      </w:pPr>
      <w:r>
        <w:rPr>
          <w:rFonts w:hint="eastAsia" w:ascii="宋体" w:hAnsi="宋体" w:cs="仿宋"/>
          <w:sz w:val="21"/>
          <w:szCs w:val="21"/>
        </w:rPr>
        <w:t>法律依据：</w:t>
      </w:r>
      <w:r>
        <w:rPr>
          <w:rFonts w:ascii="宋体" w:hAnsi="宋体"/>
          <w:sz w:val="21"/>
          <w:szCs w:val="21"/>
          <w:u w:val="single"/>
        </w:rPr>
        <w:t xml:space="preserve">             </w:t>
      </w:r>
    </w:p>
    <w:p>
      <w:pPr>
        <w:snapToGrid w:val="0"/>
        <w:spacing w:line="360" w:lineRule="auto"/>
        <w:rPr>
          <w:rFonts w:ascii="宋体" w:hAnsi="宋体" w:cs="仿宋"/>
          <w:sz w:val="21"/>
          <w:szCs w:val="21"/>
          <w:u w:val="dotted"/>
        </w:rPr>
      </w:pPr>
      <w:r>
        <w:rPr>
          <w:rFonts w:hint="eastAsia" w:ascii="宋体" w:hAnsi="宋体" w:cs="仿宋"/>
          <w:sz w:val="21"/>
          <w:szCs w:val="21"/>
        </w:rPr>
        <w:t>质疑事项2</w:t>
      </w:r>
    </w:p>
    <w:p>
      <w:pPr>
        <w:snapToGrid w:val="0"/>
        <w:spacing w:line="360" w:lineRule="auto"/>
        <w:rPr>
          <w:rFonts w:ascii="宋体" w:hAnsi="宋体" w:cs="仿宋"/>
          <w:sz w:val="21"/>
          <w:szCs w:val="21"/>
        </w:rPr>
      </w:pPr>
      <w:r>
        <w:rPr>
          <w:rFonts w:hint="eastAsia" w:ascii="宋体" w:hAnsi="宋体" w:cs="仿宋"/>
          <w:sz w:val="21"/>
          <w:szCs w:val="21"/>
        </w:rPr>
        <w:t>……</w:t>
      </w:r>
    </w:p>
    <w:p>
      <w:pPr>
        <w:snapToGrid w:val="0"/>
        <w:spacing w:line="360" w:lineRule="auto"/>
        <w:rPr>
          <w:rFonts w:ascii="宋体" w:hAnsi="宋体" w:cs="仿宋"/>
          <w:b/>
          <w:bCs/>
          <w:sz w:val="21"/>
          <w:szCs w:val="21"/>
        </w:rPr>
      </w:pPr>
      <w:r>
        <w:rPr>
          <w:rFonts w:hint="eastAsia" w:ascii="宋体" w:hAnsi="宋体" w:cs="仿宋"/>
          <w:b/>
          <w:bCs/>
          <w:sz w:val="21"/>
          <w:szCs w:val="21"/>
        </w:rPr>
        <w:t>四、与质疑事项相关的质疑请求</w:t>
      </w:r>
    </w:p>
    <w:p>
      <w:pPr>
        <w:snapToGrid w:val="0"/>
        <w:spacing w:line="360" w:lineRule="auto"/>
        <w:rPr>
          <w:rFonts w:ascii="宋体" w:hAnsi="宋体" w:cs="仿宋"/>
          <w:sz w:val="21"/>
          <w:szCs w:val="21"/>
          <w:u w:val="dotted"/>
        </w:rPr>
      </w:pPr>
      <w:r>
        <w:rPr>
          <w:rFonts w:hint="eastAsia" w:ascii="宋体" w:hAnsi="宋体" w:cs="仿宋"/>
          <w:sz w:val="21"/>
          <w:szCs w:val="21"/>
        </w:rPr>
        <w:t>请求：</w:t>
      </w:r>
      <w:r>
        <w:rPr>
          <w:rFonts w:ascii="宋体" w:hAnsi="宋体"/>
          <w:sz w:val="21"/>
          <w:szCs w:val="21"/>
          <w:u w:val="single"/>
        </w:rPr>
        <w:t xml:space="preserve">             </w:t>
      </w:r>
    </w:p>
    <w:p>
      <w:pPr>
        <w:rPr>
          <w:rFonts w:ascii="宋体" w:hAnsi="宋体"/>
          <w:sz w:val="21"/>
          <w:szCs w:val="21"/>
        </w:rPr>
      </w:pPr>
      <w:r>
        <w:rPr>
          <w:rFonts w:hint="eastAsia" w:ascii="宋体" w:hAnsi="宋体"/>
          <w:sz w:val="21"/>
          <w:szCs w:val="21"/>
        </w:rPr>
        <w:t>法定代表人签字（盖章）：</w:t>
      </w:r>
      <w:r>
        <w:rPr>
          <w:rFonts w:ascii="宋体" w:hAnsi="宋体"/>
          <w:sz w:val="21"/>
          <w:szCs w:val="21"/>
          <w:u w:val="single"/>
        </w:rPr>
        <w:t xml:space="preserve">             </w:t>
      </w:r>
    </w:p>
    <w:p>
      <w:pPr>
        <w:rPr>
          <w:rFonts w:ascii="宋体" w:hAnsi="宋体"/>
          <w:sz w:val="21"/>
          <w:szCs w:val="21"/>
        </w:rPr>
      </w:pPr>
      <w:r>
        <w:rPr>
          <w:rFonts w:hint="eastAsia" w:ascii="宋体" w:hAnsi="宋体"/>
          <w:sz w:val="21"/>
          <w:szCs w:val="21"/>
        </w:rPr>
        <w:t>授权代表签字：</w:t>
      </w:r>
      <w:r>
        <w:rPr>
          <w:rFonts w:ascii="宋体" w:hAnsi="宋体"/>
          <w:sz w:val="21"/>
          <w:szCs w:val="21"/>
          <w:u w:val="single"/>
        </w:rPr>
        <w:t xml:space="preserve">             </w:t>
      </w:r>
    </w:p>
    <w:p>
      <w:pPr>
        <w:rPr>
          <w:rFonts w:ascii="宋体" w:hAnsi="宋体"/>
          <w:sz w:val="21"/>
          <w:szCs w:val="21"/>
        </w:rPr>
      </w:pPr>
      <w:r>
        <w:rPr>
          <w:rFonts w:hint="eastAsia" w:ascii="宋体" w:hAnsi="宋体"/>
          <w:sz w:val="21"/>
          <w:szCs w:val="21"/>
        </w:rPr>
        <w:t xml:space="preserve">公章：                      </w:t>
      </w:r>
    </w:p>
    <w:p>
      <w:pPr>
        <w:rPr>
          <w:rFonts w:ascii="宋体" w:hAnsi="宋体"/>
          <w:sz w:val="21"/>
          <w:szCs w:val="21"/>
        </w:rPr>
      </w:pPr>
      <w:r>
        <w:rPr>
          <w:rFonts w:hint="eastAsia" w:ascii="宋体" w:hAnsi="宋体"/>
          <w:sz w:val="21"/>
          <w:szCs w:val="21"/>
        </w:rPr>
        <w:t xml:space="preserve">提交日期：    </w:t>
      </w:r>
    </w:p>
    <w:p>
      <w:pPr>
        <w:rPr>
          <w:rFonts w:ascii="宋体" w:hAnsi="宋体"/>
          <w:sz w:val="21"/>
          <w:szCs w:val="21"/>
        </w:rPr>
      </w:pPr>
    </w:p>
    <w:p>
      <w:pPr>
        <w:pStyle w:val="34"/>
        <w:numPr>
          <w:ilvl w:val="0"/>
          <w:numId w:val="0"/>
        </w:numPr>
        <w:spacing w:line="400" w:lineRule="exact"/>
        <w:rPr>
          <w:rFonts w:cs="微软雅黑"/>
          <w:color w:val="000000"/>
        </w:rPr>
      </w:pPr>
    </w:p>
    <w:bookmarkEnd w:id="61"/>
    <w:p>
      <w:pPr>
        <w:pStyle w:val="34"/>
        <w:numPr>
          <w:ilvl w:val="0"/>
          <w:numId w:val="0"/>
        </w:numPr>
        <w:adjustRightInd/>
        <w:rPr>
          <w:b/>
          <w:sz w:val="28"/>
          <w:szCs w:val="28"/>
        </w:rPr>
        <w:sectPr>
          <w:pgSz w:w="11907" w:h="16840"/>
          <w:pgMar w:top="1701" w:right="1588" w:bottom="1701" w:left="1588" w:header="851" w:footer="851" w:gutter="0"/>
          <w:cols w:space="720" w:num="1"/>
          <w:docGrid w:type="lines" w:linePitch="312" w:charSpace="0"/>
        </w:sectPr>
      </w:pPr>
    </w:p>
    <w:p>
      <w:pPr>
        <w:pStyle w:val="29"/>
        <w:snapToGrid w:val="0"/>
        <w:spacing w:before="0" w:after="0"/>
        <w:ind w:left="0"/>
        <w:rPr>
          <w:rFonts w:ascii="宋体" w:hAnsi="宋体"/>
        </w:rPr>
      </w:pPr>
      <w:bookmarkStart w:id="71" w:name="_Toc5503"/>
      <w:r>
        <w:rPr>
          <w:rFonts w:hint="eastAsia" w:ascii="宋体" w:hAnsi="宋体"/>
        </w:rPr>
        <w:t xml:space="preserve">  </w:t>
      </w:r>
      <w:bookmarkEnd w:id="71"/>
      <w:bookmarkStart w:id="72" w:name="_Toc466015313"/>
      <w:r>
        <w:rPr>
          <w:rFonts w:hint="eastAsia" w:ascii="宋体" w:hAnsi="宋体"/>
        </w:rPr>
        <w:t>采购需求</w:t>
      </w:r>
      <w:bookmarkEnd w:id="72"/>
      <w:bookmarkStart w:id="73" w:name="_Toc174185168"/>
      <w:bookmarkStart w:id="74" w:name="_Toc184023125"/>
    </w:p>
    <w:p>
      <w:pPr>
        <w:pStyle w:val="29"/>
        <w:numPr>
          <w:ilvl w:val="0"/>
          <w:numId w:val="0"/>
        </w:numPr>
        <w:snapToGrid w:val="0"/>
        <w:spacing w:before="0" w:after="0"/>
        <w:ind w:left="288"/>
        <w:jc w:val="left"/>
        <w:rPr>
          <w:rFonts w:ascii="宋体" w:hAnsi="宋体"/>
        </w:rPr>
      </w:pPr>
    </w:p>
    <w:p>
      <w:pPr>
        <w:pStyle w:val="29"/>
        <w:numPr>
          <w:ilvl w:val="0"/>
          <w:numId w:val="0"/>
        </w:numPr>
        <w:snapToGrid w:val="0"/>
        <w:spacing w:before="0" w:after="0"/>
        <w:rPr>
          <w:rFonts w:cs="微软雅黑"/>
          <w:sz w:val="21"/>
          <w:szCs w:val="21"/>
        </w:rPr>
      </w:pPr>
      <w:r>
        <w:rPr>
          <w:rFonts w:hint="eastAsia" w:cs="微软雅黑"/>
          <w:sz w:val="21"/>
          <w:szCs w:val="21"/>
        </w:rPr>
        <w:t>第一包  广播电视监测监管网络租用</w:t>
      </w:r>
    </w:p>
    <w:p>
      <w:pPr>
        <w:jc w:val="center"/>
        <w:rPr>
          <w:rFonts w:ascii="宋体" w:hAnsi="宋体"/>
          <w:b/>
          <w:sz w:val="21"/>
          <w:szCs w:val="21"/>
        </w:rPr>
      </w:pPr>
      <w:r>
        <w:rPr>
          <w:rFonts w:hint="eastAsia" w:ascii="宋体" w:hAnsi="宋体"/>
          <w:b/>
          <w:sz w:val="21"/>
          <w:szCs w:val="21"/>
        </w:rPr>
        <w:t>采购</w:t>
      </w:r>
      <w:r>
        <w:rPr>
          <w:rFonts w:ascii="宋体" w:hAnsi="宋体"/>
          <w:b/>
          <w:sz w:val="21"/>
          <w:szCs w:val="21"/>
        </w:rPr>
        <w:t>需求</w:t>
      </w:r>
    </w:p>
    <w:p>
      <w:pPr>
        <w:spacing w:line="360" w:lineRule="auto"/>
        <w:rPr>
          <w:rFonts w:ascii="宋体" w:hAnsi="宋体" w:cs="宋体"/>
          <w:b/>
          <w:sz w:val="21"/>
          <w:szCs w:val="21"/>
        </w:rPr>
      </w:pPr>
      <w:r>
        <w:rPr>
          <w:rFonts w:hint="eastAsia" w:ascii="宋体" w:hAnsi="宋体" w:cs="宋体"/>
          <w:b/>
          <w:sz w:val="21"/>
          <w:szCs w:val="21"/>
        </w:rPr>
        <w:t>一、概述</w:t>
      </w:r>
    </w:p>
    <w:p>
      <w:pPr>
        <w:tabs>
          <w:tab w:val="left" w:pos="420"/>
        </w:tabs>
        <w:spacing w:line="360" w:lineRule="auto"/>
        <w:ind w:firstLine="420" w:firstLineChars="200"/>
        <w:rPr>
          <w:rFonts w:ascii="宋体" w:hAnsi="宋体" w:cs="宋体"/>
          <w:sz w:val="21"/>
          <w:szCs w:val="21"/>
        </w:rPr>
      </w:pPr>
      <w:r>
        <w:rPr>
          <w:rFonts w:hint="eastAsia" w:ascii="宋体" w:hAnsi="宋体" w:cs="宋体"/>
          <w:sz w:val="21"/>
          <w:szCs w:val="21"/>
        </w:rPr>
        <w:t>租用监测调度网络，支撑北京市广播电视监测中心广播电视监测、安全播出可视指挥调度、公共广播信号监测等业务正常开展。</w:t>
      </w:r>
    </w:p>
    <w:p>
      <w:pPr>
        <w:spacing w:line="360" w:lineRule="auto"/>
        <w:rPr>
          <w:rFonts w:ascii="宋体" w:hAnsi="宋体" w:cs="宋体"/>
          <w:b/>
          <w:sz w:val="21"/>
          <w:szCs w:val="21"/>
        </w:rPr>
      </w:pPr>
      <w:r>
        <w:rPr>
          <w:rFonts w:hint="eastAsia" w:ascii="宋体" w:hAnsi="宋体" w:cs="宋体"/>
          <w:b/>
          <w:sz w:val="21"/>
          <w:szCs w:val="21"/>
        </w:rPr>
        <w:t>二、服务需求一览表</w:t>
      </w:r>
    </w:p>
    <w:p>
      <w:pPr>
        <w:spacing w:after="120" w:line="360" w:lineRule="auto"/>
        <w:jc w:val="center"/>
        <w:rPr>
          <w:rFonts w:ascii="宋体" w:hAnsi="宋体" w:cs="宋体"/>
          <w:sz w:val="21"/>
          <w:szCs w:val="21"/>
        </w:rPr>
      </w:pPr>
      <w:r>
        <w:rPr>
          <w:rFonts w:hint="eastAsia" w:ascii="宋体" w:hAnsi="宋体" w:cs="宋体"/>
          <w:sz w:val="21"/>
          <w:szCs w:val="21"/>
        </w:rPr>
        <w:t>网络需求明细表</w:t>
      </w:r>
    </w:p>
    <w:tbl>
      <w:tblPr>
        <w:tblStyle w:val="18"/>
        <w:tblW w:w="8946" w:type="dxa"/>
        <w:tblInd w:w="93" w:type="dxa"/>
        <w:tblLayout w:type="fixed"/>
        <w:tblCellMar>
          <w:top w:w="0" w:type="dxa"/>
          <w:left w:w="108" w:type="dxa"/>
          <w:bottom w:w="0" w:type="dxa"/>
          <w:right w:w="108" w:type="dxa"/>
        </w:tblCellMar>
      </w:tblPr>
      <w:tblGrid>
        <w:gridCol w:w="724"/>
        <w:gridCol w:w="3686"/>
        <w:gridCol w:w="850"/>
        <w:gridCol w:w="709"/>
        <w:gridCol w:w="2977"/>
      </w:tblGrid>
      <w:tr>
        <w:tblPrEx>
          <w:tblCellMar>
            <w:top w:w="0" w:type="dxa"/>
            <w:left w:w="108" w:type="dxa"/>
            <w:bottom w:w="0" w:type="dxa"/>
            <w:right w:w="108" w:type="dxa"/>
          </w:tblCellMar>
        </w:tblPrEx>
        <w:trPr>
          <w:cantSplit/>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1"/>
                <w:szCs w:val="21"/>
              </w:rPr>
            </w:pPr>
            <w:r>
              <w:rPr>
                <w:rFonts w:hint="eastAsia" w:ascii="宋体" w:hAnsi="宋体" w:cs="宋体"/>
                <w:b/>
                <w:bCs/>
                <w:sz w:val="21"/>
                <w:szCs w:val="21"/>
              </w:rPr>
              <w:t>序号</w:t>
            </w:r>
          </w:p>
        </w:tc>
        <w:tc>
          <w:tcPr>
            <w:tcW w:w="36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21"/>
                <w:szCs w:val="21"/>
              </w:rPr>
            </w:pPr>
            <w:r>
              <w:rPr>
                <w:rFonts w:hint="eastAsia" w:ascii="宋体" w:hAnsi="宋体" w:cs="宋体"/>
                <w:b/>
                <w:bCs/>
                <w:sz w:val="21"/>
                <w:szCs w:val="21"/>
              </w:rPr>
              <w:t>专线用途</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21"/>
                <w:szCs w:val="21"/>
              </w:rPr>
            </w:pPr>
            <w:r>
              <w:rPr>
                <w:rFonts w:hint="eastAsia" w:ascii="宋体" w:hAnsi="宋体" w:cs="宋体"/>
                <w:b/>
                <w:bCs/>
                <w:sz w:val="21"/>
                <w:szCs w:val="21"/>
              </w:rPr>
              <w:t>带宽</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21"/>
                <w:szCs w:val="21"/>
              </w:rPr>
            </w:pPr>
            <w:r>
              <w:rPr>
                <w:rFonts w:hint="eastAsia" w:ascii="宋体" w:hAnsi="宋体" w:cs="宋体"/>
                <w:b/>
                <w:bCs/>
                <w:sz w:val="21"/>
                <w:szCs w:val="21"/>
              </w:rPr>
              <w:t>数量</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21"/>
                <w:szCs w:val="21"/>
              </w:rPr>
            </w:pPr>
            <w:r>
              <w:rPr>
                <w:rFonts w:hint="eastAsia" w:ascii="宋体" w:hAnsi="宋体" w:cs="宋体"/>
                <w:b/>
                <w:bCs/>
                <w:sz w:val="21"/>
                <w:szCs w:val="21"/>
              </w:rPr>
              <w:t>备注</w:t>
            </w:r>
          </w:p>
        </w:tc>
      </w:tr>
      <w:tr>
        <w:tblPrEx>
          <w:tblCellMar>
            <w:top w:w="0" w:type="dxa"/>
            <w:left w:w="108" w:type="dxa"/>
            <w:bottom w:w="0" w:type="dxa"/>
            <w:right w:w="108" w:type="dxa"/>
          </w:tblCellMar>
        </w:tblPrEx>
        <w:trPr>
          <w:cantSplit/>
          <w:trHeight w:val="454" w:hRule="atLeast"/>
        </w:trPr>
        <w:tc>
          <w:tcPr>
            <w:tcW w:w="724" w:type="dxa"/>
            <w:tcBorders>
              <w:top w:val="nil"/>
              <w:left w:val="single" w:color="auto" w:sz="4" w:space="0"/>
              <w:bottom w:val="nil"/>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w:t>
            </w:r>
          </w:p>
        </w:tc>
        <w:tc>
          <w:tcPr>
            <w:tcW w:w="368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融媒体中心发射塔广播电视监测</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10M</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5</w:t>
            </w:r>
          </w:p>
        </w:tc>
        <w:tc>
          <w:tcPr>
            <w:tcW w:w="2977"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朝阳、海淀、丰台、石景山、通州融媒体中心</w:t>
            </w:r>
          </w:p>
        </w:tc>
      </w:tr>
      <w:tr>
        <w:tblPrEx>
          <w:tblCellMar>
            <w:top w:w="0" w:type="dxa"/>
            <w:left w:w="108" w:type="dxa"/>
            <w:bottom w:w="0" w:type="dxa"/>
            <w:right w:w="108" w:type="dxa"/>
          </w:tblCellMar>
        </w:tblPrEx>
        <w:trPr>
          <w:cantSplit/>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2</w:t>
            </w:r>
          </w:p>
        </w:tc>
        <w:tc>
          <w:tcPr>
            <w:tcW w:w="368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歌华一级分中心/分公司广播电视监测</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20M</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15</w:t>
            </w:r>
          </w:p>
        </w:tc>
        <w:tc>
          <w:tcPr>
            <w:tcW w:w="2977"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4个一级分中心、石景山歌华分公司、10个远郊分公司</w:t>
            </w:r>
          </w:p>
        </w:tc>
      </w:tr>
      <w:tr>
        <w:tblPrEx>
          <w:tblCellMar>
            <w:top w:w="0" w:type="dxa"/>
            <w:left w:w="108" w:type="dxa"/>
            <w:bottom w:w="0" w:type="dxa"/>
            <w:right w:w="108" w:type="dxa"/>
          </w:tblCellMar>
        </w:tblPrEx>
        <w:trPr>
          <w:cantSplit/>
          <w:trHeight w:val="454" w:hRule="atLeast"/>
        </w:trPr>
        <w:tc>
          <w:tcPr>
            <w:tcW w:w="724" w:type="dxa"/>
            <w:tcBorders>
              <w:top w:val="nil"/>
              <w:left w:val="single" w:color="auto" w:sz="4" w:space="0"/>
              <w:bottom w:val="nil"/>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3</w:t>
            </w:r>
          </w:p>
        </w:tc>
        <w:tc>
          <w:tcPr>
            <w:tcW w:w="368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北京新媒体集团播出信号传送</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600M</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sz w:val="21"/>
                <w:szCs w:val="21"/>
              </w:rPr>
            </w:pPr>
            <w:r>
              <w:rPr>
                <w:rFonts w:hint="eastAsia" w:ascii="宋体" w:hAnsi="宋体" w:cs="宋体"/>
                <w:sz w:val="21"/>
                <w:szCs w:val="21"/>
              </w:rPr>
              <w:t>1</w:t>
            </w:r>
          </w:p>
        </w:tc>
        <w:tc>
          <w:tcPr>
            <w:tcW w:w="2977"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北京新媒体集团播出信号向政务云传送</w:t>
            </w:r>
          </w:p>
        </w:tc>
      </w:tr>
      <w:tr>
        <w:tblPrEx>
          <w:tblCellMar>
            <w:top w:w="0" w:type="dxa"/>
            <w:left w:w="108" w:type="dxa"/>
            <w:bottom w:w="0" w:type="dxa"/>
            <w:right w:w="108" w:type="dxa"/>
          </w:tblCellMar>
        </w:tblPrEx>
        <w:trPr>
          <w:cantSplit/>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4</w:t>
            </w:r>
          </w:p>
        </w:tc>
        <w:tc>
          <w:tcPr>
            <w:tcW w:w="368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北广传媒移动电视播出信号监测</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45M</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w:t>
            </w:r>
          </w:p>
        </w:tc>
        <w:tc>
          <w:tcPr>
            <w:tcW w:w="2977"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　</w:t>
            </w:r>
          </w:p>
        </w:tc>
      </w:tr>
      <w:tr>
        <w:tblPrEx>
          <w:tblCellMar>
            <w:top w:w="0" w:type="dxa"/>
            <w:left w:w="108" w:type="dxa"/>
            <w:bottom w:w="0" w:type="dxa"/>
            <w:right w:w="108" w:type="dxa"/>
          </w:tblCellMar>
        </w:tblPrEx>
        <w:trPr>
          <w:cantSplit/>
          <w:trHeight w:val="454" w:hRule="atLeast"/>
        </w:trPr>
        <w:tc>
          <w:tcPr>
            <w:tcW w:w="724" w:type="dxa"/>
            <w:tcBorders>
              <w:top w:val="nil"/>
              <w:left w:val="single" w:color="auto" w:sz="4" w:space="0"/>
              <w:bottom w:val="nil"/>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5</w:t>
            </w:r>
          </w:p>
        </w:tc>
        <w:tc>
          <w:tcPr>
            <w:tcW w:w="368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无线转播站监测</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20M</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5</w:t>
            </w:r>
          </w:p>
        </w:tc>
        <w:tc>
          <w:tcPr>
            <w:tcW w:w="2977"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　</w:t>
            </w:r>
          </w:p>
        </w:tc>
      </w:tr>
      <w:tr>
        <w:tblPrEx>
          <w:tblCellMar>
            <w:top w:w="0" w:type="dxa"/>
            <w:left w:w="108" w:type="dxa"/>
            <w:bottom w:w="0" w:type="dxa"/>
            <w:right w:w="108" w:type="dxa"/>
          </w:tblCellMar>
        </w:tblPrEx>
        <w:trPr>
          <w:cantSplit/>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6</w:t>
            </w:r>
          </w:p>
        </w:tc>
        <w:tc>
          <w:tcPr>
            <w:tcW w:w="368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鼎视平台播出信号监测</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1000 M</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w:t>
            </w:r>
          </w:p>
        </w:tc>
        <w:tc>
          <w:tcPr>
            <w:tcW w:w="2977" w:type="dxa"/>
            <w:tcBorders>
              <w:top w:val="nil"/>
              <w:left w:val="nil"/>
              <w:bottom w:val="single" w:color="auto" w:sz="4" w:space="0"/>
              <w:right w:val="single" w:color="auto" w:sz="4" w:space="0"/>
            </w:tcBorders>
            <w:noWrap/>
            <w:vAlign w:val="bottom"/>
          </w:tcPr>
          <w:p>
            <w:pPr>
              <w:widowControl/>
              <w:rPr>
                <w:rFonts w:ascii="宋体" w:hAnsi="宋体" w:cs="宋体"/>
                <w:sz w:val="21"/>
                <w:szCs w:val="21"/>
              </w:rPr>
            </w:pPr>
            <w:r>
              <w:rPr>
                <w:rFonts w:hint="eastAsia" w:ascii="宋体" w:hAnsi="宋体" w:cs="宋体"/>
                <w:sz w:val="21"/>
                <w:szCs w:val="21"/>
              </w:rPr>
              <w:t>　</w:t>
            </w:r>
          </w:p>
        </w:tc>
      </w:tr>
      <w:tr>
        <w:tblPrEx>
          <w:tblCellMar>
            <w:top w:w="0" w:type="dxa"/>
            <w:left w:w="108" w:type="dxa"/>
            <w:bottom w:w="0" w:type="dxa"/>
            <w:right w:w="108" w:type="dxa"/>
          </w:tblCellMar>
        </w:tblPrEx>
        <w:trPr>
          <w:cantSplit/>
          <w:trHeight w:val="454" w:hRule="atLeast"/>
        </w:trPr>
        <w:tc>
          <w:tcPr>
            <w:tcW w:w="724" w:type="dxa"/>
            <w:tcBorders>
              <w:top w:val="single" w:color="auto" w:sz="4" w:space="0"/>
              <w:left w:val="single" w:color="auto" w:sz="4" w:space="0"/>
              <w:bottom w:val="nil"/>
              <w:right w:val="single" w:color="auto" w:sz="4" w:space="0"/>
            </w:tcBorders>
            <w:shd w:val="clear" w:color="000000" w:fill="auto"/>
            <w:vAlign w:val="center"/>
          </w:tcPr>
          <w:p>
            <w:pPr>
              <w:widowControl/>
              <w:jc w:val="center"/>
              <w:rPr>
                <w:rFonts w:ascii="宋体" w:hAnsi="宋体" w:cs="宋体"/>
                <w:sz w:val="21"/>
                <w:szCs w:val="21"/>
              </w:rPr>
            </w:pPr>
            <w:r>
              <w:rPr>
                <w:rFonts w:hint="eastAsia" w:ascii="宋体" w:hAnsi="宋体" w:cs="宋体"/>
                <w:sz w:val="21"/>
                <w:szCs w:val="21"/>
              </w:rPr>
              <w:t>7</w:t>
            </w:r>
          </w:p>
        </w:tc>
        <w:tc>
          <w:tcPr>
            <w:tcW w:w="3686" w:type="dxa"/>
            <w:tcBorders>
              <w:top w:val="single" w:color="auto" w:sz="4" w:space="0"/>
              <w:left w:val="nil"/>
              <w:bottom w:val="single" w:color="auto" w:sz="4" w:space="0"/>
              <w:right w:val="single" w:color="auto" w:sz="4" w:space="0"/>
            </w:tcBorders>
            <w:shd w:val="clear" w:color="000000" w:fill="auto"/>
            <w:vAlign w:val="center"/>
          </w:tcPr>
          <w:p>
            <w:pPr>
              <w:widowControl/>
              <w:rPr>
                <w:rFonts w:ascii="宋体" w:hAnsi="宋体" w:cs="宋体"/>
                <w:sz w:val="21"/>
                <w:szCs w:val="21"/>
              </w:rPr>
            </w:pPr>
            <w:r>
              <w:rPr>
                <w:rFonts w:hint="eastAsia" w:ascii="宋体" w:hAnsi="宋体" w:cs="宋体"/>
                <w:sz w:val="21"/>
                <w:szCs w:val="21"/>
              </w:rPr>
              <w:t>公共广播信号监测回传</w:t>
            </w:r>
          </w:p>
        </w:tc>
        <w:tc>
          <w:tcPr>
            <w:tcW w:w="8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sz w:val="21"/>
                <w:szCs w:val="21"/>
              </w:rPr>
            </w:pPr>
            <w:r>
              <w:rPr>
                <w:rFonts w:hint="eastAsia" w:ascii="宋体" w:hAnsi="宋体" w:cs="宋体"/>
                <w:sz w:val="21"/>
                <w:szCs w:val="21"/>
              </w:rPr>
              <w:t>100 M</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sz w:val="21"/>
                <w:szCs w:val="21"/>
              </w:rPr>
            </w:pPr>
            <w:r>
              <w:rPr>
                <w:rFonts w:hint="eastAsia" w:ascii="宋体" w:hAnsi="宋体" w:cs="宋体"/>
                <w:sz w:val="21"/>
                <w:szCs w:val="21"/>
              </w:rPr>
              <w:t>1</w:t>
            </w:r>
          </w:p>
        </w:tc>
        <w:tc>
          <w:tcPr>
            <w:tcW w:w="2977" w:type="dxa"/>
            <w:tcBorders>
              <w:top w:val="single" w:color="auto" w:sz="4" w:space="0"/>
              <w:left w:val="nil"/>
              <w:bottom w:val="single" w:color="auto" w:sz="4" w:space="0"/>
              <w:right w:val="single" w:color="auto" w:sz="4" w:space="0"/>
            </w:tcBorders>
            <w:shd w:val="clear" w:color="000000" w:fill="auto"/>
            <w:vAlign w:val="center"/>
          </w:tcPr>
          <w:p>
            <w:pPr>
              <w:widowControl/>
              <w:rPr>
                <w:rFonts w:ascii="宋体" w:hAnsi="宋体" w:cs="宋体"/>
                <w:sz w:val="21"/>
                <w:szCs w:val="21"/>
              </w:rPr>
            </w:pPr>
            <w:r>
              <w:rPr>
                <w:rFonts w:hint="eastAsia" w:ascii="宋体" w:hAnsi="宋体" w:cs="宋体"/>
                <w:sz w:val="21"/>
                <w:szCs w:val="21"/>
              </w:rPr>
              <w:t>政务云回传监测中心</w:t>
            </w:r>
          </w:p>
        </w:tc>
      </w:tr>
      <w:tr>
        <w:tblPrEx>
          <w:tblCellMar>
            <w:top w:w="0" w:type="dxa"/>
            <w:left w:w="108" w:type="dxa"/>
            <w:bottom w:w="0" w:type="dxa"/>
            <w:right w:w="108" w:type="dxa"/>
          </w:tblCellMar>
        </w:tblPrEx>
        <w:trPr>
          <w:cantSplit/>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8</w:t>
            </w:r>
          </w:p>
        </w:tc>
        <w:tc>
          <w:tcPr>
            <w:tcW w:w="3686"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北京新媒体集团播出信号监测回传</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500 M</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w:t>
            </w:r>
          </w:p>
        </w:tc>
        <w:tc>
          <w:tcPr>
            <w:tcW w:w="2977" w:type="dxa"/>
            <w:tcBorders>
              <w:top w:val="nil"/>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政务云回传监测中心</w:t>
            </w:r>
          </w:p>
        </w:tc>
      </w:tr>
      <w:tr>
        <w:tblPrEx>
          <w:tblCellMar>
            <w:top w:w="0" w:type="dxa"/>
            <w:left w:w="108" w:type="dxa"/>
            <w:bottom w:w="0" w:type="dxa"/>
            <w:right w:w="108" w:type="dxa"/>
          </w:tblCellMar>
        </w:tblPrEx>
        <w:trPr>
          <w:cantSplit/>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9</w:t>
            </w:r>
          </w:p>
        </w:tc>
        <w:tc>
          <w:tcPr>
            <w:tcW w:w="3686" w:type="dxa"/>
            <w:tcBorders>
              <w:top w:val="single" w:color="auto" w:sz="4" w:space="0"/>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安全播出可视指挥调度</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10M</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35</w:t>
            </w:r>
          </w:p>
        </w:tc>
        <w:tc>
          <w:tcPr>
            <w:tcW w:w="2977" w:type="dxa"/>
            <w:tcBorders>
              <w:top w:val="single" w:color="auto" w:sz="4" w:space="0"/>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15个融媒体中心、广播电视台、新媒体集团、歌华有线、朝内办公区408会议室、鼎视、歌华传媒集团、14区文旅局</w:t>
            </w:r>
          </w:p>
        </w:tc>
      </w:tr>
      <w:tr>
        <w:tblPrEx>
          <w:tblCellMar>
            <w:top w:w="0" w:type="dxa"/>
            <w:left w:w="108" w:type="dxa"/>
            <w:bottom w:w="0" w:type="dxa"/>
            <w:right w:w="108" w:type="dxa"/>
          </w:tblCellMar>
        </w:tblPrEx>
        <w:trPr>
          <w:cantSplit/>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10</w:t>
            </w:r>
          </w:p>
        </w:tc>
        <w:tc>
          <w:tcPr>
            <w:tcW w:w="3686" w:type="dxa"/>
            <w:tcBorders>
              <w:top w:val="single" w:color="auto" w:sz="4" w:space="0"/>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国家广电总局视频会议</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6M</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1"/>
                <w:szCs w:val="21"/>
              </w:rPr>
            </w:pPr>
            <w:r>
              <w:rPr>
                <w:rFonts w:hint="eastAsia" w:ascii="宋体" w:hAnsi="宋体" w:cs="宋体"/>
                <w:sz w:val="21"/>
                <w:szCs w:val="21"/>
              </w:rPr>
              <w:t>1</w:t>
            </w:r>
          </w:p>
        </w:tc>
        <w:tc>
          <w:tcPr>
            <w:tcW w:w="2977" w:type="dxa"/>
            <w:tcBorders>
              <w:top w:val="single" w:color="auto" w:sz="4" w:space="0"/>
              <w:left w:val="nil"/>
              <w:bottom w:val="single" w:color="auto" w:sz="4" w:space="0"/>
              <w:right w:val="single" w:color="auto" w:sz="4" w:space="0"/>
            </w:tcBorders>
            <w:vAlign w:val="center"/>
          </w:tcPr>
          <w:p>
            <w:pPr>
              <w:widowControl/>
              <w:rPr>
                <w:rFonts w:ascii="宋体" w:hAnsi="宋体" w:cs="宋体"/>
                <w:sz w:val="21"/>
                <w:szCs w:val="21"/>
              </w:rPr>
            </w:pPr>
            <w:r>
              <w:rPr>
                <w:rFonts w:hint="eastAsia" w:ascii="宋体" w:hAnsi="宋体" w:cs="宋体"/>
                <w:sz w:val="21"/>
                <w:szCs w:val="21"/>
              </w:rPr>
              <w:t>　</w:t>
            </w:r>
          </w:p>
        </w:tc>
      </w:tr>
      <w:tr>
        <w:tblPrEx>
          <w:tblCellMar>
            <w:top w:w="0" w:type="dxa"/>
            <w:left w:w="108" w:type="dxa"/>
            <w:bottom w:w="0" w:type="dxa"/>
            <w:right w:w="108" w:type="dxa"/>
          </w:tblCellMar>
        </w:tblPrEx>
        <w:trPr>
          <w:cantSplit/>
          <w:trHeight w:val="454" w:hRule="atLeast"/>
        </w:trPr>
        <w:tc>
          <w:tcPr>
            <w:tcW w:w="724" w:type="dxa"/>
            <w:vMerge w:val="restart"/>
            <w:tcBorders>
              <w:top w:val="single" w:color="auto" w:sz="4" w:space="0"/>
              <w:left w:val="single" w:color="auto" w:sz="4" w:space="0"/>
              <w:right w:val="single" w:color="auto" w:sz="4" w:space="0"/>
            </w:tcBorders>
            <w:shd w:val="clear" w:color="000000" w:fill="auto"/>
            <w:vAlign w:val="center"/>
          </w:tcPr>
          <w:p>
            <w:pPr>
              <w:widowControl/>
              <w:jc w:val="center"/>
              <w:rPr>
                <w:rFonts w:ascii="宋体" w:hAnsi="宋体" w:cs="宋体"/>
                <w:sz w:val="21"/>
                <w:szCs w:val="21"/>
              </w:rPr>
            </w:pPr>
            <w:r>
              <w:rPr>
                <w:rFonts w:hint="eastAsia" w:ascii="宋体" w:hAnsi="宋体" w:cs="宋体"/>
                <w:sz w:val="21"/>
                <w:szCs w:val="21"/>
              </w:rPr>
              <w:t>11</w:t>
            </w:r>
          </w:p>
        </w:tc>
        <w:tc>
          <w:tcPr>
            <w:tcW w:w="3686" w:type="dxa"/>
            <w:vMerge w:val="restart"/>
            <w:tcBorders>
              <w:top w:val="single" w:color="auto" w:sz="4" w:space="0"/>
              <w:left w:val="single" w:color="auto" w:sz="4" w:space="0"/>
              <w:right w:val="single" w:color="auto" w:sz="4" w:space="0"/>
            </w:tcBorders>
            <w:shd w:val="clear" w:color="000000" w:fill="auto"/>
            <w:vAlign w:val="center"/>
          </w:tcPr>
          <w:p>
            <w:pPr>
              <w:widowControl/>
              <w:rPr>
                <w:rFonts w:ascii="宋体" w:hAnsi="宋体" w:cs="宋体"/>
                <w:sz w:val="21"/>
                <w:szCs w:val="21"/>
              </w:rPr>
            </w:pPr>
            <w:r>
              <w:rPr>
                <w:rFonts w:hint="eastAsia" w:ascii="宋体" w:hAnsi="宋体" w:cs="宋体"/>
                <w:sz w:val="21"/>
                <w:szCs w:val="21"/>
              </w:rPr>
              <w:t>国家广电总局指挥调度平台</w:t>
            </w:r>
          </w:p>
        </w:tc>
        <w:tc>
          <w:tcPr>
            <w:tcW w:w="8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sz w:val="21"/>
                <w:szCs w:val="21"/>
              </w:rPr>
            </w:pPr>
            <w:r>
              <w:rPr>
                <w:rFonts w:hint="eastAsia" w:ascii="宋体" w:hAnsi="宋体" w:cs="宋体"/>
                <w:sz w:val="21"/>
                <w:szCs w:val="21"/>
              </w:rPr>
              <w:t>100M</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sz w:val="21"/>
                <w:szCs w:val="21"/>
              </w:rPr>
            </w:pPr>
            <w:r>
              <w:rPr>
                <w:rFonts w:hint="eastAsia" w:ascii="宋体" w:hAnsi="宋体" w:cs="宋体"/>
                <w:sz w:val="21"/>
                <w:szCs w:val="21"/>
              </w:rPr>
              <w:t>1</w:t>
            </w:r>
          </w:p>
        </w:tc>
        <w:tc>
          <w:tcPr>
            <w:tcW w:w="2977" w:type="dxa"/>
            <w:tcBorders>
              <w:top w:val="single" w:color="auto" w:sz="4" w:space="0"/>
              <w:left w:val="nil"/>
              <w:bottom w:val="single" w:color="auto" w:sz="4" w:space="0"/>
              <w:right w:val="single" w:color="auto" w:sz="4" w:space="0"/>
            </w:tcBorders>
            <w:shd w:val="clear" w:color="000000" w:fill="auto"/>
            <w:vAlign w:val="center"/>
          </w:tcPr>
          <w:p>
            <w:pPr>
              <w:widowControl/>
              <w:rPr>
                <w:rFonts w:ascii="宋体" w:hAnsi="宋体" w:cs="宋体"/>
                <w:sz w:val="21"/>
                <w:szCs w:val="21"/>
              </w:rPr>
            </w:pPr>
            <w:r>
              <w:rPr>
                <w:rFonts w:hint="eastAsia" w:ascii="宋体" w:hAnsi="宋体" w:cs="宋体"/>
                <w:sz w:val="21"/>
                <w:szCs w:val="21"/>
              </w:rPr>
              <w:t>　</w:t>
            </w:r>
          </w:p>
        </w:tc>
      </w:tr>
      <w:tr>
        <w:tblPrEx>
          <w:tblCellMar>
            <w:top w:w="0" w:type="dxa"/>
            <w:left w:w="108" w:type="dxa"/>
            <w:bottom w:w="0" w:type="dxa"/>
            <w:right w:w="108" w:type="dxa"/>
          </w:tblCellMar>
        </w:tblPrEx>
        <w:trPr>
          <w:cantSplit/>
          <w:trHeight w:val="454" w:hRule="atLeast"/>
        </w:trPr>
        <w:tc>
          <w:tcPr>
            <w:tcW w:w="724" w:type="dxa"/>
            <w:vMerge w:val="continue"/>
            <w:tcBorders>
              <w:left w:val="single" w:color="auto" w:sz="4" w:space="0"/>
              <w:bottom w:val="single" w:color="auto" w:sz="4" w:space="0"/>
              <w:right w:val="single" w:color="auto" w:sz="4" w:space="0"/>
            </w:tcBorders>
            <w:shd w:val="clear" w:color="000000" w:fill="auto"/>
            <w:vAlign w:val="center"/>
          </w:tcPr>
          <w:p>
            <w:pPr>
              <w:widowControl/>
              <w:rPr>
                <w:rFonts w:ascii="宋体" w:hAnsi="宋体" w:cs="宋体"/>
                <w:sz w:val="21"/>
                <w:szCs w:val="21"/>
              </w:rPr>
            </w:pPr>
          </w:p>
        </w:tc>
        <w:tc>
          <w:tcPr>
            <w:tcW w:w="3686" w:type="dxa"/>
            <w:vMerge w:val="continue"/>
            <w:tcBorders>
              <w:left w:val="single" w:color="auto" w:sz="4" w:space="0"/>
              <w:bottom w:val="single" w:color="auto" w:sz="4" w:space="0"/>
              <w:right w:val="single" w:color="auto" w:sz="4" w:space="0"/>
            </w:tcBorders>
            <w:shd w:val="clear" w:color="000000" w:fill="auto"/>
            <w:vAlign w:val="center"/>
          </w:tcPr>
          <w:p>
            <w:pPr>
              <w:widowControl/>
              <w:rPr>
                <w:rFonts w:ascii="宋体" w:hAnsi="宋体" w:cs="宋体"/>
                <w:sz w:val="21"/>
                <w:szCs w:val="21"/>
              </w:rPr>
            </w:pPr>
          </w:p>
        </w:tc>
        <w:tc>
          <w:tcPr>
            <w:tcW w:w="8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sz w:val="21"/>
                <w:szCs w:val="21"/>
              </w:rPr>
            </w:pPr>
            <w:r>
              <w:rPr>
                <w:rFonts w:hint="eastAsia" w:ascii="宋体" w:hAnsi="宋体" w:cs="宋体"/>
                <w:sz w:val="21"/>
                <w:szCs w:val="21"/>
              </w:rPr>
              <w:t>100M</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sz w:val="21"/>
                <w:szCs w:val="21"/>
              </w:rPr>
            </w:pPr>
            <w:r>
              <w:rPr>
                <w:rFonts w:hint="eastAsia" w:ascii="宋体" w:hAnsi="宋体" w:cs="宋体"/>
                <w:sz w:val="21"/>
                <w:szCs w:val="21"/>
              </w:rPr>
              <w:t>1</w:t>
            </w:r>
          </w:p>
        </w:tc>
        <w:tc>
          <w:tcPr>
            <w:tcW w:w="2977" w:type="dxa"/>
            <w:tcBorders>
              <w:top w:val="single" w:color="auto" w:sz="4" w:space="0"/>
              <w:left w:val="nil"/>
              <w:bottom w:val="single" w:color="auto" w:sz="4" w:space="0"/>
              <w:right w:val="single" w:color="auto" w:sz="4" w:space="0"/>
            </w:tcBorders>
            <w:shd w:val="clear" w:color="000000" w:fill="auto"/>
            <w:vAlign w:val="center"/>
          </w:tcPr>
          <w:p>
            <w:pPr>
              <w:widowControl/>
              <w:rPr>
                <w:rFonts w:ascii="宋体" w:hAnsi="宋体" w:cs="宋体"/>
                <w:sz w:val="21"/>
                <w:szCs w:val="21"/>
              </w:rPr>
            </w:pPr>
            <w:r>
              <w:rPr>
                <w:rFonts w:hint="eastAsia" w:ascii="宋体" w:hAnsi="宋体" w:cs="宋体"/>
                <w:sz w:val="21"/>
                <w:szCs w:val="21"/>
              </w:rPr>
              <w:t>　</w:t>
            </w:r>
          </w:p>
        </w:tc>
      </w:tr>
    </w:tbl>
    <w:p>
      <w:pPr>
        <w:spacing w:after="120" w:line="360" w:lineRule="auto"/>
        <w:rPr>
          <w:rFonts w:ascii="宋体" w:hAnsi="宋体" w:cs="宋体"/>
          <w:sz w:val="21"/>
          <w:szCs w:val="21"/>
        </w:rPr>
      </w:pPr>
    </w:p>
    <w:p>
      <w:pPr>
        <w:spacing w:after="120" w:line="360" w:lineRule="auto"/>
        <w:jc w:val="center"/>
        <w:rPr>
          <w:rFonts w:ascii="宋体" w:hAnsi="宋体" w:cs="宋体"/>
          <w:b/>
          <w:sz w:val="21"/>
          <w:szCs w:val="21"/>
        </w:rPr>
      </w:pPr>
      <w:r>
        <w:rPr>
          <w:rFonts w:hint="eastAsia" w:ascii="宋体" w:hAnsi="宋体" w:cs="宋体"/>
          <w:b/>
          <w:sz w:val="21"/>
          <w:szCs w:val="21"/>
        </w:rPr>
        <w:t>接入点明细</w:t>
      </w:r>
    </w:p>
    <w:tbl>
      <w:tblPr>
        <w:tblStyle w:val="18"/>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9"/>
        <w:gridCol w:w="1409"/>
        <w:gridCol w:w="2233"/>
        <w:gridCol w:w="1134"/>
        <w:gridCol w:w="611"/>
        <w:gridCol w:w="992"/>
        <w:gridCol w:w="73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Align w:val="center"/>
          </w:tcPr>
          <w:p>
            <w:pPr>
              <w:widowControl/>
              <w:jc w:val="center"/>
              <w:rPr>
                <w:rFonts w:ascii="宋体" w:hAnsi="宋体" w:cs="宋体"/>
                <w:b/>
                <w:sz w:val="21"/>
                <w:szCs w:val="21"/>
              </w:rPr>
            </w:pPr>
            <w:r>
              <w:rPr>
                <w:rFonts w:hint="eastAsia" w:ascii="宋体" w:hAnsi="宋体" w:cs="宋体"/>
                <w:b/>
                <w:sz w:val="21"/>
                <w:szCs w:val="21"/>
              </w:rPr>
              <w:t>业务</w:t>
            </w:r>
          </w:p>
          <w:p>
            <w:pPr>
              <w:widowControl/>
              <w:jc w:val="center"/>
              <w:rPr>
                <w:rFonts w:ascii="宋体" w:hAnsi="宋体" w:cs="宋体"/>
                <w:b/>
                <w:sz w:val="21"/>
                <w:szCs w:val="21"/>
              </w:rPr>
            </w:pPr>
            <w:r>
              <w:rPr>
                <w:rFonts w:hint="eastAsia" w:ascii="宋体" w:hAnsi="宋体" w:cs="宋体"/>
                <w:b/>
                <w:sz w:val="21"/>
                <w:szCs w:val="21"/>
              </w:rPr>
              <w:t>名称</w:t>
            </w:r>
          </w:p>
        </w:tc>
        <w:tc>
          <w:tcPr>
            <w:tcW w:w="709" w:type="dxa"/>
            <w:vAlign w:val="center"/>
          </w:tcPr>
          <w:p>
            <w:pPr>
              <w:widowControl/>
              <w:jc w:val="center"/>
              <w:rPr>
                <w:rFonts w:ascii="宋体" w:hAnsi="宋体" w:cs="宋体"/>
                <w:b/>
                <w:sz w:val="21"/>
                <w:szCs w:val="21"/>
              </w:rPr>
            </w:pPr>
            <w:r>
              <w:rPr>
                <w:rFonts w:hint="eastAsia" w:ascii="宋体" w:hAnsi="宋体" w:cs="宋体"/>
                <w:b/>
                <w:sz w:val="21"/>
                <w:szCs w:val="21"/>
              </w:rPr>
              <w:t>序号</w:t>
            </w:r>
          </w:p>
        </w:tc>
        <w:tc>
          <w:tcPr>
            <w:tcW w:w="1409" w:type="dxa"/>
            <w:vAlign w:val="center"/>
          </w:tcPr>
          <w:p>
            <w:pPr>
              <w:widowControl/>
              <w:jc w:val="center"/>
              <w:rPr>
                <w:rFonts w:ascii="宋体" w:hAnsi="宋体" w:cs="宋体"/>
                <w:b/>
                <w:sz w:val="21"/>
                <w:szCs w:val="21"/>
              </w:rPr>
            </w:pPr>
            <w:r>
              <w:rPr>
                <w:rFonts w:hint="eastAsia" w:ascii="宋体" w:hAnsi="宋体" w:cs="宋体"/>
                <w:b/>
                <w:sz w:val="21"/>
                <w:szCs w:val="21"/>
              </w:rPr>
              <w:t>网络A端</w:t>
            </w:r>
          </w:p>
          <w:p>
            <w:pPr>
              <w:widowControl/>
              <w:jc w:val="center"/>
              <w:rPr>
                <w:rFonts w:ascii="宋体" w:hAnsi="宋体" w:cs="宋体"/>
                <w:b/>
                <w:sz w:val="21"/>
                <w:szCs w:val="21"/>
              </w:rPr>
            </w:pPr>
            <w:r>
              <w:rPr>
                <w:rFonts w:hint="eastAsia" w:ascii="宋体" w:hAnsi="宋体" w:cs="宋体"/>
                <w:b/>
                <w:sz w:val="21"/>
                <w:szCs w:val="21"/>
              </w:rPr>
              <w:t>名称及地址</w:t>
            </w:r>
          </w:p>
        </w:tc>
        <w:tc>
          <w:tcPr>
            <w:tcW w:w="2233" w:type="dxa"/>
            <w:vAlign w:val="center"/>
          </w:tcPr>
          <w:p>
            <w:pPr>
              <w:widowControl/>
              <w:jc w:val="center"/>
              <w:rPr>
                <w:rFonts w:ascii="宋体" w:hAnsi="宋体" w:cs="宋体"/>
                <w:b/>
                <w:sz w:val="21"/>
                <w:szCs w:val="21"/>
              </w:rPr>
            </w:pPr>
            <w:r>
              <w:rPr>
                <w:rFonts w:hint="eastAsia" w:ascii="宋体" w:hAnsi="宋体" w:cs="宋体"/>
                <w:b/>
                <w:sz w:val="21"/>
                <w:szCs w:val="21"/>
              </w:rPr>
              <w:t>网络B端名称</w:t>
            </w:r>
          </w:p>
        </w:tc>
        <w:tc>
          <w:tcPr>
            <w:tcW w:w="1134" w:type="dxa"/>
            <w:vAlign w:val="center"/>
          </w:tcPr>
          <w:p>
            <w:pPr>
              <w:widowControl/>
              <w:jc w:val="center"/>
              <w:rPr>
                <w:rFonts w:ascii="宋体" w:hAnsi="宋体" w:cs="宋体"/>
                <w:b/>
                <w:sz w:val="21"/>
                <w:szCs w:val="21"/>
              </w:rPr>
            </w:pPr>
            <w:r>
              <w:rPr>
                <w:rFonts w:hint="eastAsia" w:ascii="宋体" w:hAnsi="宋体" w:cs="宋体"/>
                <w:b/>
                <w:sz w:val="21"/>
                <w:szCs w:val="21"/>
              </w:rPr>
              <w:t>网络B端</w:t>
            </w:r>
          </w:p>
          <w:p>
            <w:pPr>
              <w:widowControl/>
              <w:jc w:val="center"/>
              <w:rPr>
                <w:rFonts w:ascii="宋体" w:hAnsi="宋体" w:cs="宋体"/>
                <w:b/>
                <w:sz w:val="21"/>
                <w:szCs w:val="21"/>
              </w:rPr>
            </w:pPr>
            <w:r>
              <w:rPr>
                <w:rFonts w:hint="eastAsia" w:ascii="宋体" w:hAnsi="宋体" w:cs="宋体"/>
                <w:b/>
                <w:sz w:val="21"/>
                <w:szCs w:val="21"/>
              </w:rPr>
              <w:t>安装位置</w:t>
            </w:r>
          </w:p>
        </w:tc>
        <w:tc>
          <w:tcPr>
            <w:tcW w:w="611" w:type="dxa"/>
            <w:vAlign w:val="center"/>
          </w:tcPr>
          <w:p>
            <w:pPr>
              <w:widowControl/>
              <w:jc w:val="center"/>
              <w:rPr>
                <w:rFonts w:ascii="宋体" w:hAnsi="宋体" w:cs="宋体"/>
                <w:b/>
                <w:sz w:val="21"/>
                <w:szCs w:val="21"/>
              </w:rPr>
            </w:pPr>
            <w:r>
              <w:rPr>
                <w:rFonts w:hint="eastAsia" w:ascii="宋体" w:hAnsi="宋体" w:cs="宋体"/>
                <w:b/>
                <w:sz w:val="21"/>
                <w:szCs w:val="21"/>
              </w:rPr>
              <w:t>数量</w:t>
            </w:r>
          </w:p>
        </w:tc>
        <w:tc>
          <w:tcPr>
            <w:tcW w:w="992" w:type="dxa"/>
            <w:vAlign w:val="center"/>
          </w:tcPr>
          <w:p>
            <w:pPr>
              <w:widowControl/>
              <w:jc w:val="center"/>
              <w:rPr>
                <w:rFonts w:ascii="宋体" w:hAnsi="宋体" w:cs="宋体"/>
                <w:b/>
                <w:sz w:val="21"/>
                <w:szCs w:val="21"/>
              </w:rPr>
            </w:pPr>
            <w:r>
              <w:rPr>
                <w:rFonts w:hint="eastAsia" w:ascii="宋体" w:hAnsi="宋体" w:cs="宋体"/>
                <w:b/>
                <w:sz w:val="21"/>
                <w:szCs w:val="21"/>
              </w:rPr>
              <w:t>带宽（Mbps)</w:t>
            </w:r>
          </w:p>
        </w:tc>
        <w:tc>
          <w:tcPr>
            <w:tcW w:w="737" w:type="dxa"/>
            <w:vAlign w:val="center"/>
          </w:tcPr>
          <w:p>
            <w:pPr>
              <w:widowControl/>
              <w:jc w:val="center"/>
              <w:rPr>
                <w:rFonts w:ascii="宋体" w:hAnsi="宋体" w:cs="宋体"/>
                <w:b/>
                <w:sz w:val="21"/>
                <w:szCs w:val="21"/>
              </w:rPr>
            </w:pPr>
            <w:r>
              <w:rPr>
                <w:rFonts w:hint="eastAsia" w:ascii="宋体" w:hAnsi="宋体" w:cs="宋体"/>
                <w:b/>
                <w:sz w:val="21"/>
                <w:szCs w:val="21"/>
              </w:rPr>
              <w:t>类型</w:t>
            </w:r>
          </w:p>
        </w:tc>
        <w:tc>
          <w:tcPr>
            <w:tcW w:w="932" w:type="dxa"/>
            <w:vAlign w:val="center"/>
          </w:tcPr>
          <w:p>
            <w:pPr>
              <w:widowControl/>
              <w:jc w:val="center"/>
              <w:rPr>
                <w:rFonts w:ascii="宋体" w:hAnsi="宋体" w:cs="宋体"/>
                <w:b/>
                <w:sz w:val="21"/>
                <w:szCs w:val="21"/>
              </w:rPr>
            </w:pPr>
            <w:r>
              <w:rPr>
                <w:rFonts w:hint="eastAsia" w:ascii="宋体" w:hAnsi="宋体" w:cs="宋体"/>
                <w:b/>
                <w:sz w:val="21"/>
                <w:szCs w:val="21"/>
              </w:rPr>
              <w:t>网络</w:t>
            </w:r>
          </w:p>
          <w:p>
            <w:pPr>
              <w:widowControl/>
              <w:jc w:val="center"/>
              <w:rPr>
                <w:rFonts w:ascii="宋体" w:hAnsi="宋体" w:cs="宋体"/>
                <w:b/>
                <w:sz w:val="21"/>
                <w:szCs w:val="21"/>
              </w:rPr>
            </w:pPr>
            <w:r>
              <w:rPr>
                <w:rFonts w:hint="eastAsia" w:ascii="宋体" w:hAnsi="宋体" w:cs="宋体"/>
                <w:b/>
                <w:sz w:val="21"/>
                <w:szCs w:val="21"/>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restart"/>
            <w:vAlign w:val="center"/>
          </w:tcPr>
          <w:p>
            <w:pPr>
              <w:widowControl/>
              <w:jc w:val="center"/>
              <w:rPr>
                <w:rFonts w:ascii="宋体" w:hAnsi="宋体" w:cs="宋体"/>
                <w:sz w:val="21"/>
                <w:szCs w:val="21"/>
              </w:rPr>
            </w:pPr>
            <w:r>
              <w:rPr>
                <w:rFonts w:hint="eastAsia" w:ascii="宋体" w:hAnsi="宋体" w:cs="宋体"/>
                <w:sz w:val="21"/>
                <w:szCs w:val="21"/>
              </w:rPr>
              <w:t>1融媒体中心广播电视监测</w:t>
            </w:r>
          </w:p>
        </w:tc>
        <w:tc>
          <w:tcPr>
            <w:tcW w:w="709" w:type="dxa"/>
            <w:vAlign w:val="center"/>
          </w:tcPr>
          <w:p>
            <w:pPr>
              <w:jc w:val="center"/>
              <w:rPr>
                <w:rFonts w:ascii="宋体" w:hAnsi="宋体" w:cs="宋体"/>
                <w:sz w:val="21"/>
                <w:szCs w:val="21"/>
              </w:rPr>
            </w:pPr>
            <w:r>
              <w:rPr>
                <w:rFonts w:hint="eastAsia" w:ascii="宋体" w:hAnsi="宋体" w:cs="宋体"/>
                <w:sz w:val="21"/>
                <w:szCs w:val="21"/>
              </w:rPr>
              <w:t>1</w:t>
            </w:r>
          </w:p>
        </w:tc>
        <w:tc>
          <w:tcPr>
            <w:tcW w:w="1409" w:type="dxa"/>
            <w:vMerge w:val="restart"/>
            <w:vAlign w:val="center"/>
          </w:tcPr>
          <w:p>
            <w:pPr>
              <w:widowControl/>
              <w:rPr>
                <w:rFonts w:ascii="宋体" w:hAnsi="宋体" w:cs="宋体"/>
                <w:sz w:val="21"/>
                <w:szCs w:val="21"/>
              </w:rPr>
            </w:pPr>
            <w:r>
              <w:rPr>
                <w:rFonts w:hint="eastAsia" w:ascii="宋体" w:hAnsi="宋体" w:cs="宋体"/>
                <w:sz w:val="21"/>
                <w:szCs w:val="21"/>
              </w:rPr>
              <w:t>北京市广播电视监测中心机房（建外大街14号）</w:t>
            </w:r>
          </w:p>
        </w:tc>
        <w:tc>
          <w:tcPr>
            <w:tcW w:w="2233" w:type="dxa"/>
            <w:vAlign w:val="center"/>
          </w:tcPr>
          <w:p>
            <w:pPr>
              <w:widowControl/>
              <w:rPr>
                <w:rFonts w:ascii="宋体" w:hAnsi="宋体" w:cs="宋体"/>
                <w:sz w:val="21"/>
                <w:szCs w:val="21"/>
              </w:rPr>
            </w:pPr>
            <w:r>
              <w:rPr>
                <w:rFonts w:hint="eastAsia" w:ascii="宋体" w:hAnsi="宋体" w:cs="宋体"/>
                <w:sz w:val="21"/>
                <w:szCs w:val="21"/>
              </w:rPr>
              <w:t>朝阳区融媒体中心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播出机房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2</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海淀区融媒体中心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播出机房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3</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丰台区融媒体中心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播出机房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石景山区融媒体中心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播出机房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通州融媒体中心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发射塔</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restart"/>
            <w:vAlign w:val="center"/>
          </w:tcPr>
          <w:p>
            <w:pPr>
              <w:widowControl/>
              <w:jc w:val="center"/>
              <w:rPr>
                <w:rFonts w:ascii="宋体" w:hAnsi="宋体" w:cs="宋体"/>
                <w:sz w:val="21"/>
                <w:szCs w:val="21"/>
              </w:rPr>
            </w:pPr>
            <w:r>
              <w:rPr>
                <w:rFonts w:hint="eastAsia" w:ascii="宋体" w:hAnsi="宋体" w:cs="宋体"/>
                <w:sz w:val="21"/>
                <w:szCs w:val="21"/>
              </w:rPr>
              <w:t>2歌华一级分中心/分公司广播电视监测</w:t>
            </w:r>
          </w:p>
        </w:tc>
        <w:tc>
          <w:tcPr>
            <w:tcW w:w="709" w:type="dxa"/>
            <w:vAlign w:val="center"/>
          </w:tcPr>
          <w:p>
            <w:pPr>
              <w:jc w:val="center"/>
              <w:rPr>
                <w:rFonts w:ascii="宋体" w:hAnsi="宋体" w:cs="宋体"/>
                <w:sz w:val="21"/>
                <w:szCs w:val="21"/>
              </w:rPr>
            </w:pPr>
            <w:r>
              <w:rPr>
                <w:rFonts w:hint="eastAsia" w:ascii="宋体" w:hAnsi="宋体" w:cs="宋体"/>
                <w:sz w:val="21"/>
                <w:szCs w:val="21"/>
              </w:rPr>
              <w:t>6</w:t>
            </w:r>
          </w:p>
        </w:tc>
        <w:tc>
          <w:tcPr>
            <w:tcW w:w="1409" w:type="dxa"/>
            <w:vMerge w:val="restart"/>
            <w:vAlign w:val="center"/>
          </w:tcPr>
          <w:p>
            <w:pPr>
              <w:widowControl/>
              <w:rPr>
                <w:rFonts w:ascii="宋体" w:hAnsi="宋体" w:cs="宋体"/>
                <w:sz w:val="21"/>
                <w:szCs w:val="21"/>
              </w:rPr>
            </w:pPr>
            <w:r>
              <w:rPr>
                <w:rFonts w:hint="eastAsia" w:ascii="宋体" w:hAnsi="宋体" w:cs="宋体"/>
                <w:sz w:val="21"/>
                <w:szCs w:val="21"/>
              </w:rPr>
              <w:t>北京市广播电视监测中心机房（建外大街14号）</w:t>
            </w:r>
          </w:p>
        </w:tc>
        <w:tc>
          <w:tcPr>
            <w:tcW w:w="2233" w:type="dxa"/>
            <w:vAlign w:val="center"/>
          </w:tcPr>
          <w:p>
            <w:pPr>
              <w:widowControl/>
              <w:rPr>
                <w:rFonts w:ascii="宋体" w:hAnsi="宋体" w:cs="宋体"/>
                <w:sz w:val="21"/>
                <w:szCs w:val="21"/>
              </w:rPr>
            </w:pPr>
            <w:r>
              <w:rPr>
                <w:rFonts w:hint="eastAsia" w:ascii="宋体" w:hAnsi="宋体" w:cs="宋体"/>
                <w:sz w:val="21"/>
                <w:szCs w:val="21"/>
              </w:rPr>
              <w:t>歌华A0分中心</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7</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歌华B0分中心</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8</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歌华C0分中心</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9</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歌华D0分中心</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10</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石景山歌华分公司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11</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门头沟区歌华分公司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12</w:t>
            </w:r>
          </w:p>
        </w:tc>
        <w:tc>
          <w:tcPr>
            <w:tcW w:w="1409" w:type="dxa"/>
            <w:vMerge w:val="continue"/>
            <w:vAlign w:val="center"/>
          </w:tcPr>
          <w:p>
            <w:pPr>
              <w:widowControl/>
              <w:jc w:val="cente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昌平区歌华分公司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13</w:t>
            </w:r>
          </w:p>
        </w:tc>
        <w:tc>
          <w:tcPr>
            <w:tcW w:w="1409" w:type="dxa"/>
            <w:vMerge w:val="continue"/>
            <w:vAlign w:val="center"/>
          </w:tcPr>
          <w:p>
            <w:pPr>
              <w:widowControl/>
              <w:jc w:val="cente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延庆区歌华分公司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14</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密云区歌华分公司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15</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怀柔区歌华分公司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16</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顺义区歌华分公司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17</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平谷区歌华分公司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18</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通州区歌华分公司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19</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大兴区歌华分公司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20</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房山区歌华分公司</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Align w:val="center"/>
          </w:tcPr>
          <w:p>
            <w:pPr>
              <w:pStyle w:val="12"/>
              <w:rPr>
                <w:rFonts w:hAnsi="宋体" w:cs="宋体"/>
              </w:rPr>
            </w:pPr>
            <w:r>
              <w:rPr>
                <w:rFonts w:hint="eastAsia" w:hAnsi="宋体" w:cs="宋体"/>
              </w:rPr>
              <w:t>3鼎视平台播出信号监测</w:t>
            </w:r>
          </w:p>
        </w:tc>
        <w:tc>
          <w:tcPr>
            <w:tcW w:w="709" w:type="dxa"/>
            <w:vAlign w:val="center"/>
          </w:tcPr>
          <w:p>
            <w:pPr>
              <w:jc w:val="center"/>
              <w:rPr>
                <w:rFonts w:ascii="宋体" w:hAnsi="宋体" w:cs="宋体"/>
                <w:sz w:val="21"/>
                <w:szCs w:val="21"/>
              </w:rPr>
            </w:pPr>
            <w:r>
              <w:rPr>
                <w:rFonts w:hint="eastAsia" w:ascii="宋体" w:hAnsi="宋体" w:cs="宋体"/>
                <w:sz w:val="21"/>
                <w:szCs w:val="21"/>
              </w:rPr>
              <w:t>21</w:t>
            </w:r>
          </w:p>
        </w:tc>
        <w:tc>
          <w:tcPr>
            <w:tcW w:w="1409" w:type="dxa"/>
            <w:vAlign w:val="center"/>
          </w:tcPr>
          <w:p>
            <w:pPr>
              <w:widowControl/>
              <w:rPr>
                <w:rFonts w:ascii="宋体" w:hAnsi="宋体" w:cs="宋体"/>
                <w:sz w:val="21"/>
                <w:szCs w:val="21"/>
              </w:rPr>
            </w:pPr>
            <w:r>
              <w:rPr>
                <w:rFonts w:hint="eastAsia" w:ascii="宋体" w:hAnsi="宋体" w:cs="宋体"/>
                <w:sz w:val="21"/>
                <w:szCs w:val="21"/>
              </w:rPr>
              <w:t>北京市广播电视监测中心机房（建外大街14号）</w:t>
            </w:r>
          </w:p>
        </w:tc>
        <w:tc>
          <w:tcPr>
            <w:tcW w:w="2233" w:type="dxa"/>
            <w:vAlign w:val="center"/>
          </w:tcPr>
          <w:p>
            <w:pPr>
              <w:widowControl/>
              <w:rPr>
                <w:rFonts w:ascii="宋体" w:hAnsi="宋体" w:cs="宋体"/>
                <w:sz w:val="21"/>
                <w:szCs w:val="21"/>
              </w:rPr>
            </w:pPr>
            <w:r>
              <w:rPr>
                <w:rFonts w:hint="eastAsia" w:ascii="宋体" w:hAnsi="宋体" w:cs="宋体"/>
                <w:sz w:val="21"/>
                <w:szCs w:val="21"/>
              </w:rPr>
              <w:t>鼎视传媒</w:t>
            </w:r>
          </w:p>
        </w:tc>
        <w:tc>
          <w:tcPr>
            <w:tcW w:w="1134" w:type="dxa"/>
            <w:vAlign w:val="center"/>
          </w:tcPr>
          <w:p>
            <w:pPr>
              <w:widowControl/>
              <w:rPr>
                <w:rFonts w:ascii="宋体" w:hAnsi="宋体" w:cs="宋体"/>
                <w:sz w:val="21"/>
                <w:szCs w:val="21"/>
              </w:rPr>
            </w:pPr>
            <w:r>
              <w:rPr>
                <w:rFonts w:hint="eastAsia" w:ascii="宋体" w:hAnsi="宋体" w:cs="宋体"/>
                <w:sz w:val="21"/>
                <w:szCs w:val="21"/>
              </w:rPr>
              <w:t>播出机房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1000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Align w:val="center"/>
          </w:tcPr>
          <w:p>
            <w:pPr>
              <w:pStyle w:val="12"/>
              <w:rPr>
                <w:rFonts w:hAnsi="宋体" w:cs="宋体"/>
              </w:rPr>
            </w:pPr>
            <w:r>
              <w:rPr>
                <w:rFonts w:hint="eastAsia" w:hAnsi="宋体" w:cs="宋体"/>
              </w:rPr>
              <w:t>4北广传媒移动电视播出信号监测</w:t>
            </w:r>
          </w:p>
        </w:tc>
        <w:tc>
          <w:tcPr>
            <w:tcW w:w="709" w:type="dxa"/>
            <w:vAlign w:val="center"/>
          </w:tcPr>
          <w:p>
            <w:pPr>
              <w:jc w:val="center"/>
              <w:rPr>
                <w:rFonts w:ascii="宋体" w:hAnsi="宋体" w:cs="宋体"/>
                <w:sz w:val="21"/>
                <w:szCs w:val="21"/>
              </w:rPr>
            </w:pPr>
            <w:r>
              <w:rPr>
                <w:rFonts w:hint="eastAsia" w:ascii="宋体" w:hAnsi="宋体" w:cs="宋体"/>
                <w:sz w:val="21"/>
                <w:szCs w:val="21"/>
              </w:rPr>
              <w:t>22</w:t>
            </w:r>
          </w:p>
        </w:tc>
        <w:tc>
          <w:tcPr>
            <w:tcW w:w="1409" w:type="dxa"/>
            <w:vAlign w:val="center"/>
          </w:tcPr>
          <w:p>
            <w:pPr>
              <w:widowControl/>
              <w:rPr>
                <w:rFonts w:ascii="宋体" w:hAnsi="宋体" w:cs="宋体"/>
                <w:sz w:val="21"/>
                <w:szCs w:val="21"/>
              </w:rPr>
            </w:pPr>
            <w:r>
              <w:rPr>
                <w:rFonts w:hint="eastAsia" w:ascii="宋体" w:hAnsi="宋体" w:cs="宋体"/>
                <w:sz w:val="21"/>
                <w:szCs w:val="21"/>
              </w:rPr>
              <w:t>北京市广播电视监测中心机房（建外大街14号）</w:t>
            </w:r>
          </w:p>
        </w:tc>
        <w:tc>
          <w:tcPr>
            <w:tcW w:w="2233" w:type="dxa"/>
            <w:vAlign w:val="center"/>
          </w:tcPr>
          <w:p>
            <w:pPr>
              <w:widowControl/>
              <w:rPr>
                <w:rFonts w:ascii="宋体" w:hAnsi="宋体" w:cs="宋体"/>
                <w:sz w:val="21"/>
                <w:szCs w:val="21"/>
              </w:rPr>
            </w:pPr>
            <w:r>
              <w:rPr>
                <w:rFonts w:hint="eastAsia" w:ascii="宋体" w:hAnsi="宋体" w:cs="宋体"/>
                <w:sz w:val="21"/>
                <w:szCs w:val="21"/>
              </w:rPr>
              <w:t>中央发射塔</w:t>
            </w:r>
          </w:p>
        </w:tc>
        <w:tc>
          <w:tcPr>
            <w:tcW w:w="1134" w:type="dxa"/>
            <w:vAlign w:val="center"/>
          </w:tcPr>
          <w:p>
            <w:pPr>
              <w:widowControl/>
              <w:rPr>
                <w:rFonts w:ascii="宋体" w:hAnsi="宋体" w:cs="宋体"/>
                <w:sz w:val="21"/>
                <w:szCs w:val="21"/>
              </w:rPr>
            </w:pPr>
            <w:r>
              <w:rPr>
                <w:rFonts w:hint="eastAsia" w:ascii="宋体" w:hAnsi="宋体" w:cs="宋体"/>
                <w:sz w:val="21"/>
                <w:szCs w:val="21"/>
              </w:rPr>
              <w:t>传输机房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45</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restart"/>
            <w:vAlign w:val="center"/>
          </w:tcPr>
          <w:p>
            <w:pPr>
              <w:widowControl/>
              <w:jc w:val="center"/>
              <w:rPr>
                <w:rFonts w:ascii="宋体" w:hAnsi="宋体" w:cs="宋体"/>
                <w:sz w:val="21"/>
                <w:szCs w:val="21"/>
              </w:rPr>
            </w:pPr>
            <w:r>
              <w:rPr>
                <w:rFonts w:hint="eastAsia" w:ascii="宋体" w:hAnsi="宋体" w:cs="宋体"/>
                <w:sz w:val="21"/>
                <w:szCs w:val="21"/>
              </w:rPr>
              <w:t>5无线转播站监测</w:t>
            </w:r>
          </w:p>
        </w:tc>
        <w:tc>
          <w:tcPr>
            <w:tcW w:w="709" w:type="dxa"/>
            <w:vAlign w:val="center"/>
          </w:tcPr>
          <w:p>
            <w:pPr>
              <w:jc w:val="center"/>
              <w:rPr>
                <w:rFonts w:ascii="宋体" w:hAnsi="宋体" w:cs="宋体"/>
                <w:sz w:val="21"/>
                <w:szCs w:val="21"/>
              </w:rPr>
            </w:pPr>
            <w:r>
              <w:rPr>
                <w:rFonts w:hint="eastAsia" w:ascii="宋体" w:hAnsi="宋体" w:cs="宋体"/>
                <w:sz w:val="21"/>
                <w:szCs w:val="21"/>
              </w:rPr>
              <w:t>23</w:t>
            </w:r>
          </w:p>
        </w:tc>
        <w:tc>
          <w:tcPr>
            <w:tcW w:w="1409" w:type="dxa"/>
            <w:vMerge w:val="restart"/>
            <w:vAlign w:val="center"/>
          </w:tcPr>
          <w:p>
            <w:pPr>
              <w:widowControl/>
              <w:rPr>
                <w:rFonts w:ascii="宋体" w:hAnsi="宋体" w:cs="宋体"/>
                <w:sz w:val="21"/>
                <w:szCs w:val="21"/>
              </w:rPr>
            </w:pPr>
            <w:r>
              <w:rPr>
                <w:rFonts w:hint="eastAsia" w:ascii="宋体" w:hAnsi="宋体" w:cs="宋体"/>
                <w:sz w:val="21"/>
                <w:szCs w:val="21"/>
              </w:rPr>
              <w:t>北京市广播电视监测中心机房（建外大街14号）</w:t>
            </w:r>
          </w:p>
        </w:tc>
        <w:tc>
          <w:tcPr>
            <w:tcW w:w="2233" w:type="dxa"/>
            <w:vAlign w:val="center"/>
          </w:tcPr>
          <w:p>
            <w:pPr>
              <w:widowControl/>
              <w:rPr>
                <w:rFonts w:ascii="宋体" w:hAnsi="宋体" w:cs="宋体"/>
                <w:sz w:val="21"/>
                <w:szCs w:val="21"/>
              </w:rPr>
            </w:pPr>
            <w:r>
              <w:rPr>
                <w:rFonts w:hint="eastAsia" w:ascii="宋体" w:hAnsi="宋体" w:cs="宋体"/>
                <w:sz w:val="21"/>
                <w:szCs w:val="21"/>
              </w:rPr>
              <w:t>延庆区无线转播站</w:t>
            </w:r>
          </w:p>
        </w:tc>
        <w:tc>
          <w:tcPr>
            <w:tcW w:w="1134" w:type="dxa"/>
            <w:vAlign w:val="center"/>
          </w:tcPr>
          <w:p>
            <w:pPr>
              <w:widowControl/>
              <w:rPr>
                <w:rFonts w:ascii="宋体" w:hAnsi="宋体" w:cs="宋体"/>
                <w:sz w:val="21"/>
                <w:szCs w:val="21"/>
              </w:rPr>
            </w:pPr>
            <w:r>
              <w:rPr>
                <w:rFonts w:hint="eastAsia" w:ascii="宋体" w:hAnsi="宋体" w:cs="宋体"/>
                <w:sz w:val="21"/>
                <w:szCs w:val="21"/>
              </w:rPr>
              <w:t>延庆区刘斌堡乡上虎叫村浆棚山机房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20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24</w:t>
            </w:r>
          </w:p>
        </w:tc>
        <w:tc>
          <w:tcPr>
            <w:tcW w:w="1409" w:type="dxa"/>
            <w:vMerge w:val="continue"/>
            <w:vAlign w:val="center"/>
          </w:tcPr>
          <w:p>
            <w:pP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密云区无线转播站</w:t>
            </w:r>
          </w:p>
        </w:tc>
        <w:tc>
          <w:tcPr>
            <w:tcW w:w="1134" w:type="dxa"/>
            <w:vAlign w:val="center"/>
          </w:tcPr>
          <w:p>
            <w:pPr>
              <w:widowControl/>
              <w:rPr>
                <w:rFonts w:ascii="宋体" w:hAnsi="宋体" w:cs="宋体"/>
                <w:sz w:val="21"/>
                <w:szCs w:val="21"/>
              </w:rPr>
            </w:pPr>
            <w:r>
              <w:rPr>
                <w:rFonts w:hint="eastAsia" w:ascii="宋体" w:hAnsi="宋体" w:cs="宋体"/>
                <w:sz w:val="21"/>
                <w:szCs w:val="21"/>
              </w:rPr>
              <w:t>密云区不老屯镇白土沟村西山机房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20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25</w:t>
            </w:r>
          </w:p>
        </w:tc>
        <w:tc>
          <w:tcPr>
            <w:tcW w:w="1409" w:type="dxa"/>
            <w:vMerge w:val="continue"/>
            <w:vAlign w:val="center"/>
          </w:tcPr>
          <w:p>
            <w:pP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怀柔区无线转播站</w:t>
            </w:r>
          </w:p>
        </w:tc>
        <w:tc>
          <w:tcPr>
            <w:tcW w:w="1134" w:type="dxa"/>
            <w:vAlign w:val="center"/>
          </w:tcPr>
          <w:p>
            <w:pPr>
              <w:widowControl/>
              <w:rPr>
                <w:rFonts w:ascii="宋体" w:hAnsi="宋体" w:cs="宋体"/>
                <w:sz w:val="21"/>
                <w:szCs w:val="21"/>
              </w:rPr>
            </w:pPr>
            <w:r>
              <w:rPr>
                <w:rFonts w:hint="eastAsia" w:ascii="宋体" w:hAnsi="宋体" w:cs="宋体"/>
                <w:sz w:val="21"/>
                <w:szCs w:val="21"/>
              </w:rPr>
              <w:t>怀柔区汤河口南山机房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20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26</w:t>
            </w:r>
          </w:p>
        </w:tc>
        <w:tc>
          <w:tcPr>
            <w:tcW w:w="1409" w:type="dxa"/>
            <w:vMerge w:val="continue"/>
            <w:vAlign w:val="center"/>
          </w:tcPr>
          <w:p>
            <w:pP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平谷区无线转播站</w:t>
            </w:r>
          </w:p>
        </w:tc>
        <w:tc>
          <w:tcPr>
            <w:tcW w:w="1134" w:type="dxa"/>
            <w:vAlign w:val="center"/>
          </w:tcPr>
          <w:p>
            <w:pPr>
              <w:widowControl/>
              <w:rPr>
                <w:rFonts w:ascii="宋体" w:hAnsi="宋体" w:cs="宋体"/>
                <w:sz w:val="21"/>
                <w:szCs w:val="21"/>
              </w:rPr>
            </w:pPr>
            <w:r>
              <w:rPr>
                <w:rFonts w:hint="eastAsia" w:ascii="宋体" w:hAnsi="宋体" w:cs="宋体"/>
                <w:sz w:val="21"/>
                <w:szCs w:val="21"/>
              </w:rPr>
              <w:t>平谷区山东庄镇鱼子山村景台山机房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20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27</w:t>
            </w:r>
          </w:p>
        </w:tc>
        <w:tc>
          <w:tcPr>
            <w:tcW w:w="1409" w:type="dxa"/>
            <w:vMerge w:val="continue"/>
            <w:vAlign w:val="center"/>
          </w:tcPr>
          <w:p>
            <w:pP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房山区无线转播站</w:t>
            </w:r>
          </w:p>
        </w:tc>
        <w:tc>
          <w:tcPr>
            <w:tcW w:w="1134" w:type="dxa"/>
            <w:vAlign w:val="center"/>
          </w:tcPr>
          <w:p>
            <w:pPr>
              <w:widowControl/>
              <w:rPr>
                <w:rFonts w:ascii="宋体" w:hAnsi="宋体" w:cs="宋体"/>
                <w:sz w:val="21"/>
                <w:szCs w:val="21"/>
              </w:rPr>
            </w:pPr>
            <w:r>
              <w:rPr>
                <w:rFonts w:hint="eastAsia" w:ascii="宋体" w:hAnsi="宋体" w:cs="宋体"/>
                <w:sz w:val="21"/>
                <w:szCs w:val="21"/>
              </w:rPr>
              <w:t>房山区霞云岭乡四马台村白草畔机房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20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Align w:val="center"/>
          </w:tcPr>
          <w:p>
            <w:pPr>
              <w:widowControl/>
              <w:jc w:val="center"/>
              <w:rPr>
                <w:rFonts w:ascii="宋体" w:hAnsi="宋体" w:cs="宋体"/>
                <w:sz w:val="21"/>
                <w:szCs w:val="21"/>
              </w:rPr>
            </w:pPr>
            <w:r>
              <w:rPr>
                <w:rFonts w:hint="eastAsia" w:ascii="宋体" w:hAnsi="宋体" w:cs="宋体"/>
                <w:sz w:val="21"/>
                <w:szCs w:val="21"/>
              </w:rPr>
              <w:t>6北京新媒体集团播出信号传送</w:t>
            </w:r>
          </w:p>
        </w:tc>
        <w:tc>
          <w:tcPr>
            <w:tcW w:w="709" w:type="dxa"/>
            <w:vAlign w:val="center"/>
          </w:tcPr>
          <w:p>
            <w:pPr>
              <w:jc w:val="center"/>
              <w:rPr>
                <w:rFonts w:ascii="宋体" w:hAnsi="宋体" w:cs="宋体"/>
                <w:sz w:val="21"/>
                <w:szCs w:val="21"/>
              </w:rPr>
            </w:pPr>
            <w:r>
              <w:rPr>
                <w:rFonts w:hint="eastAsia" w:ascii="宋体" w:hAnsi="宋体" w:cs="宋体"/>
                <w:sz w:val="21"/>
                <w:szCs w:val="21"/>
              </w:rPr>
              <w:t>28</w:t>
            </w:r>
          </w:p>
        </w:tc>
        <w:tc>
          <w:tcPr>
            <w:tcW w:w="1409" w:type="dxa"/>
            <w:vAlign w:val="center"/>
          </w:tcPr>
          <w:p>
            <w:pPr>
              <w:rPr>
                <w:rFonts w:ascii="宋体" w:hAnsi="宋体" w:cs="宋体"/>
                <w:sz w:val="21"/>
                <w:szCs w:val="21"/>
              </w:rPr>
            </w:pPr>
            <w:r>
              <w:rPr>
                <w:rFonts w:hint="eastAsia" w:ascii="宋体" w:hAnsi="宋体" w:cs="宋体"/>
                <w:sz w:val="21"/>
                <w:szCs w:val="21"/>
              </w:rPr>
              <w:t>北京市政务云六里桥机房</w:t>
            </w:r>
          </w:p>
        </w:tc>
        <w:tc>
          <w:tcPr>
            <w:tcW w:w="2233" w:type="dxa"/>
            <w:vAlign w:val="center"/>
          </w:tcPr>
          <w:p>
            <w:pPr>
              <w:widowControl/>
              <w:rPr>
                <w:rFonts w:ascii="宋体" w:hAnsi="宋体" w:cs="宋体"/>
                <w:sz w:val="21"/>
                <w:szCs w:val="21"/>
              </w:rPr>
            </w:pPr>
            <w:r>
              <w:rPr>
                <w:rFonts w:hint="eastAsia" w:ascii="宋体" w:hAnsi="宋体" w:cs="宋体"/>
                <w:sz w:val="21"/>
                <w:szCs w:val="21"/>
              </w:rPr>
              <w:t>北京新媒体集团</w:t>
            </w:r>
          </w:p>
        </w:tc>
        <w:tc>
          <w:tcPr>
            <w:tcW w:w="1134" w:type="dxa"/>
            <w:vAlign w:val="center"/>
          </w:tcPr>
          <w:p>
            <w:pPr>
              <w:widowControl/>
              <w:rPr>
                <w:rFonts w:ascii="宋体" w:hAnsi="宋体" w:cs="宋体"/>
                <w:sz w:val="21"/>
                <w:szCs w:val="21"/>
              </w:rPr>
            </w:pPr>
            <w:r>
              <w:rPr>
                <w:rFonts w:hint="eastAsia" w:ascii="宋体" w:hAnsi="宋体" w:cs="宋体"/>
                <w:sz w:val="21"/>
                <w:szCs w:val="21"/>
              </w:rPr>
              <w:t>播出机房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600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Align w:val="center"/>
          </w:tcPr>
          <w:p>
            <w:pPr>
              <w:widowControl/>
              <w:jc w:val="center"/>
              <w:rPr>
                <w:rFonts w:ascii="宋体" w:hAnsi="宋体" w:cs="宋体"/>
                <w:sz w:val="21"/>
                <w:szCs w:val="21"/>
              </w:rPr>
            </w:pPr>
            <w:r>
              <w:rPr>
                <w:rFonts w:hint="eastAsia" w:ascii="宋体" w:hAnsi="宋体" w:cs="宋体"/>
                <w:sz w:val="21"/>
                <w:szCs w:val="21"/>
              </w:rPr>
              <w:t>7北京新媒体集团播出信号监测回传</w:t>
            </w:r>
          </w:p>
        </w:tc>
        <w:tc>
          <w:tcPr>
            <w:tcW w:w="709" w:type="dxa"/>
            <w:vAlign w:val="center"/>
          </w:tcPr>
          <w:p>
            <w:pPr>
              <w:jc w:val="center"/>
              <w:rPr>
                <w:rFonts w:ascii="宋体" w:hAnsi="宋体" w:cs="宋体"/>
                <w:sz w:val="21"/>
                <w:szCs w:val="21"/>
              </w:rPr>
            </w:pPr>
            <w:r>
              <w:rPr>
                <w:rFonts w:hint="eastAsia" w:ascii="宋体" w:hAnsi="宋体" w:cs="宋体"/>
                <w:sz w:val="21"/>
                <w:szCs w:val="21"/>
              </w:rPr>
              <w:t>29</w:t>
            </w:r>
          </w:p>
        </w:tc>
        <w:tc>
          <w:tcPr>
            <w:tcW w:w="1409" w:type="dxa"/>
            <w:vAlign w:val="center"/>
          </w:tcPr>
          <w:p>
            <w:pPr>
              <w:rPr>
                <w:rFonts w:ascii="宋体" w:hAnsi="宋体" w:cs="宋体"/>
                <w:sz w:val="21"/>
                <w:szCs w:val="21"/>
              </w:rPr>
            </w:pPr>
            <w:r>
              <w:rPr>
                <w:rFonts w:hint="eastAsia" w:ascii="宋体" w:hAnsi="宋体" w:cs="宋体"/>
                <w:sz w:val="21"/>
                <w:szCs w:val="21"/>
              </w:rPr>
              <w:t>北京市广播电视监测中心机房（建外大街14号）</w:t>
            </w:r>
          </w:p>
        </w:tc>
        <w:tc>
          <w:tcPr>
            <w:tcW w:w="2233" w:type="dxa"/>
            <w:vAlign w:val="center"/>
          </w:tcPr>
          <w:p>
            <w:pPr>
              <w:widowControl/>
              <w:rPr>
                <w:rFonts w:ascii="宋体" w:hAnsi="宋体" w:cs="宋体"/>
                <w:sz w:val="21"/>
                <w:szCs w:val="21"/>
              </w:rPr>
            </w:pPr>
            <w:r>
              <w:rPr>
                <w:rFonts w:hint="eastAsia" w:ascii="宋体" w:hAnsi="宋体" w:cs="宋体"/>
                <w:sz w:val="21"/>
                <w:szCs w:val="21"/>
              </w:rPr>
              <w:t>北京市政务云六里桥机房</w:t>
            </w:r>
          </w:p>
        </w:tc>
        <w:tc>
          <w:tcPr>
            <w:tcW w:w="1134" w:type="dxa"/>
            <w:vAlign w:val="center"/>
          </w:tcPr>
          <w:p>
            <w:pPr>
              <w:widowControl/>
              <w:rPr>
                <w:rFonts w:ascii="宋体" w:hAnsi="宋体" w:cs="宋体"/>
                <w:sz w:val="21"/>
                <w:szCs w:val="21"/>
              </w:rPr>
            </w:pPr>
            <w:r>
              <w:rPr>
                <w:rFonts w:hint="eastAsia" w:ascii="宋体" w:hAnsi="宋体" w:cs="宋体"/>
                <w:sz w:val="21"/>
                <w:szCs w:val="21"/>
              </w:rPr>
              <w:t>政务云机房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500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Align w:val="center"/>
          </w:tcPr>
          <w:p>
            <w:pPr>
              <w:widowControl/>
              <w:jc w:val="center"/>
              <w:rPr>
                <w:rFonts w:ascii="宋体" w:hAnsi="宋体" w:cs="宋体"/>
                <w:sz w:val="21"/>
                <w:szCs w:val="21"/>
              </w:rPr>
            </w:pPr>
            <w:r>
              <w:rPr>
                <w:rFonts w:hint="eastAsia" w:ascii="宋体" w:hAnsi="宋体" w:cs="宋体"/>
                <w:sz w:val="21"/>
                <w:szCs w:val="21"/>
              </w:rPr>
              <w:t>8公共广播信号监测回传</w:t>
            </w:r>
          </w:p>
        </w:tc>
        <w:tc>
          <w:tcPr>
            <w:tcW w:w="709" w:type="dxa"/>
            <w:vAlign w:val="center"/>
          </w:tcPr>
          <w:p>
            <w:pPr>
              <w:jc w:val="center"/>
              <w:rPr>
                <w:rFonts w:ascii="宋体" w:hAnsi="宋体" w:cs="宋体"/>
                <w:sz w:val="21"/>
                <w:szCs w:val="21"/>
              </w:rPr>
            </w:pPr>
            <w:r>
              <w:rPr>
                <w:rFonts w:hint="eastAsia" w:ascii="宋体" w:hAnsi="宋体" w:cs="宋体"/>
                <w:sz w:val="21"/>
                <w:szCs w:val="21"/>
              </w:rPr>
              <w:t>30</w:t>
            </w:r>
          </w:p>
        </w:tc>
        <w:tc>
          <w:tcPr>
            <w:tcW w:w="1409" w:type="dxa"/>
            <w:vAlign w:val="center"/>
          </w:tcPr>
          <w:p>
            <w:pPr>
              <w:rPr>
                <w:rFonts w:ascii="宋体" w:hAnsi="宋体" w:cs="宋体"/>
                <w:sz w:val="21"/>
                <w:szCs w:val="21"/>
              </w:rPr>
            </w:pPr>
            <w:r>
              <w:rPr>
                <w:rFonts w:hint="eastAsia" w:ascii="宋体" w:hAnsi="宋体" w:cs="宋体"/>
                <w:sz w:val="21"/>
                <w:szCs w:val="21"/>
              </w:rPr>
              <w:t>北京市广播电视监测中心机房（建外大街14号）</w:t>
            </w:r>
          </w:p>
        </w:tc>
        <w:tc>
          <w:tcPr>
            <w:tcW w:w="2233" w:type="dxa"/>
            <w:vAlign w:val="center"/>
          </w:tcPr>
          <w:p>
            <w:pPr>
              <w:widowControl/>
              <w:rPr>
                <w:rFonts w:ascii="宋体" w:hAnsi="宋体" w:cs="宋体"/>
                <w:sz w:val="21"/>
                <w:szCs w:val="21"/>
              </w:rPr>
            </w:pPr>
            <w:r>
              <w:rPr>
                <w:rFonts w:hint="eastAsia" w:ascii="宋体" w:hAnsi="宋体" w:cs="宋体"/>
                <w:sz w:val="21"/>
                <w:szCs w:val="21"/>
              </w:rPr>
              <w:t>北京市政务云六里桥机房</w:t>
            </w:r>
          </w:p>
        </w:tc>
        <w:tc>
          <w:tcPr>
            <w:tcW w:w="1134" w:type="dxa"/>
            <w:vAlign w:val="center"/>
          </w:tcPr>
          <w:p>
            <w:pPr>
              <w:widowControl/>
              <w:rPr>
                <w:rFonts w:ascii="宋体" w:hAnsi="宋体" w:cs="宋体"/>
                <w:sz w:val="21"/>
                <w:szCs w:val="21"/>
              </w:rPr>
            </w:pPr>
            <w:r>
              <w:rPr>
                <w:rFonts w:hint="eastAsia" w:ascii="宋体" w:hAnsi="宋体" w:cs="宋体"/>
                <w:sz w:val="21"/>
                <w:szCs w:val="21"/>
              </w:rPr>
              <w:t>政务云机房</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restart"/>
            <w:vAlign w:val="center"/>
          </w:tcPr>
          <w:p>
            <w:pPr>
              <w:jc w:val="center"/>
              <w:rPr>
                <w:rFonts w:ascii="宋体" w:hAnsi="宋体" w:cs="宋体"/>
                <w:sz w:val="21"/>
                <w:szCs w:val="21"/>
              </w:rPr>
            </w:pPr>
            <w:r>
              <w:rPr>
                <w:rFonts w:hint="eastAsia" w:ascii="宋体" w:hAnsi="宋体" w:cs="宋体"/>
                <w:sz w:val="21"/>
                <w:szCs w:val="21"/>
              </w:rPr>
              <w:t>9安全播出可视指挥调度</w:t>
            </w:r>
          </w:p>
        </w:tc>
        <w:tc>
          <w:tcPr>
            <w:tcW w:w="709" w:type="dxa"/>
            <w:vAlign w:val="center"/>
          </w:tcPr>
          <w:p>
            <w:pPr>
              <w:jc w:val="center"/>
              <w:rPr>
                <w:rFonts w:ascii="宋体" w:hAnsi="宋体" w:cs="宋体"/>
                <w:sz w:val="21"/>
                <w:szCs w:val="21"/>
              </w:rPr>
            </w:pPr>
            <w:r>
              <w:rPr>
                <w:rFonts w:hint="eastAsia" w:ascii="宋体" w:hAnsi="宋体" w:cs="宋体"/>
                <w:sz w:val="21"/>
                <w:szCs w:val="21"/>
              </w:rPr>
              <w:t>31</w:t>
            </w:r>
          </w:p>
        </w:tc>
        <w:tc>
          <w:tcPr>
            <w:tcW w:w="1409" w:type="dxa"/>
            <w:vMerge w:val="restart"/>
            <w:vAlign w:val="center"/>
          </w:tcPr>
          <w:p>
            <w:pPr>
              <w:rPr>
                <w:rFonts w:ascii="宋体" w:hAnsi="宋体" w:cs="宋体"/>
                <w:sz w:val="21"/>
                <w:szCs w:val="21"/>
              </w:rPr>
            </w:pPr>
            <w:r>
              <w:rPr>
                <w:rFonts w:hint="eastAsia" w:ascii="宋体" w:hAnsi="宋体" w:cs="宋体"/>
                <w:sz w:val="21"/>
                <w:szCs w:val="21"/>
              </w:rPr>
              <w:t>北京市广播电视监测中心机房及局办公楼17层会议室（建外大街14号）</w:t>
            </w:r>
          </w:p>
        </w:tc>
        <w:tc>
          <w:tcPr>
            <w:tcW w:w="2233" w:type="dxa"/>
            <w:vAlign w:val="center"/>
          </w:tcPr>
          <w:p>
            <w:pPr>
              <w:widowControl/>
              <w:rPr>
                <w:rFonts w:ascii="宋体" w:hAnsi="宋体" w:cs="宋体"/>
                <w:sz w:val="21"/>
                <w:szCs w:val="21"/>
              </w:rPr>
            </w:pPr>
            <w:r>
              <w:rPr>
                <w:rFonts w:hint="eastAsia" w:ascii="宋体" w:hAnsi="宋体" w:cs="宋体"/>
                <w:sz w:val="21"/>
                <w:szCs w:val="21"/>
              </w:rPr>
              <w:t>市广电局</w:t>
            </w:r>
          </w:p>
        </w:tc>
        <w:tc>
          <w:tcPr>
            <w:tcW w:w="1134" w:type="dxa"/>
            <w:vAlign w:val="center"/>
          </w:tcPr>
          <w:p>
            <w:pPr>
              <w:widowControl/>
              <w:rPr>
                <w:rFonts w:ascii="宋体" w:hAnsi="宋体" w:cs="宋体"/>
                <w:sz w:val="21"/>
                <w:szCs w:val="21"/>
              </w:rPr>
            </w:pPr>
            <w:r>
              <w:rPr>
                <w:rFonts w:hint="eastAsia" w:ascii="宋体" w:hAnsi="宋体" w:cs="宋体"/>
                <w:sz w:val="21"/>
                <w:szCs w:val="21"/>
              </w:rPr>
              <w:t>朝内408会议室主/备</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32</w:t>
            </w:r>
          </w:p>
        </w:tc>
        <w:tc>
          <w:tcPr>
            <w:tcW w:w="1409" w:type="dxa"/>
            <w:vMerge w:val="continue"/>
            <w:vAlign w:val="center"/>
          </w:tcPr>
          <w:p>
            <w:pP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北京广播电视台</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33</w:t>
            </w:r>
          </w:p>
        </w:tc>
        <w:tc>
          <w:tcPr>
            <w:tcW w:w="1409" w:type="dxa"/>
            <w:vMerge w:val="continue"/>
            <w:vAlign w:val="center"/>
          </w:tcPr>
          <w:p>
            <w:pP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新媒体集团</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34</w:t>
            </w:r>
          </w:p>
        </w:tc>
        <w:tc>
          <w:tcPr>
            <w:tcW w:w="1409" w:type="dxa"/>
            <w:vMerge w:val="continue"/>
            <w:vAlign w:val="center"/>
          </w:tcPr>
          <w:p>
            <w:pP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歌华有线</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35</w:t>
            </w:r>
          </w:p>
        </w:tc>
        <w:tc>
          <w:tcPr>
            <w:tcW w:w="1409" w:type="dxa"/>
            <w:vMerge w:val="continue"/>
            <w:vAlign w:val="center"/>
          </w:tcPr>
          <w:p>
            <w:pP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鼎视</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36</w:t>
            </w:r>
          </w:p>
        </w:tc>
        <w:tc>
          <w:tcPr>
            <w:tcW w:w="1409" w:type="dxa"/>
            <w:vMerge w:val="continue"/>
            <w:vAlign w:val="center"/>
          </w:tcPr>
          <w:p>
            <w:pPr>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歌华传媒集团</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37</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朝阳区融媒体中心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38</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海淀区融媒体中心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39</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丰台区融媒体中心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40</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石景山区融媒体中心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41</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门头沟区融媒体中心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42</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昌平区融媒体中心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43</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延庆区融媒体中心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44</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密云区融媒体中心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45</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怀柔区融媒体中心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46</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顺义区融媒体中心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47</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平谷区融媒体中心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48</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通州区融媒体中心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49</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大兴区融媒体中心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50</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房山区融媒体中心</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51</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北京经济技术开发区工委宣传文化部</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52</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西城区文旅局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53</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东城区文旅局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54</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朝阳区文旅局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55</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海淀区文旅局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56</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丰台区文旅局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57</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石景山区文旅局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58</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延庆区文旅局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59</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通州区文旅局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60</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怀柔区文旅局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61</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平谷区文旅局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62</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门头沟区文旅局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63</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顺义区文旅局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64</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密云区文旅局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jc w:val="center"/>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65</w:t>
            </w:r>
          </w:p>
        </w:tc>
        <w:tc>
          <w:tcPr>
            <w:tcW w:w="1409" w:type="dxa"/>
            <w:vMerge w:val="continue"/>
            <w:vAlign w:val="center"/>
          </w:tcPr>
          <w:p>
            <w:pPr>
              <w:widowControl/>
              <w:rPr>
                <w:rFonts w:ascii="宋体" w:hAnsi="宋体" w:cs="宋体"/>
                <w:sz w:val="21"/>
                <w:szCs w:val="21"/>
              </w:rPr>
            </w:pPr>
          </w:p>
        </w:tc>
        <w:tc>
          <w:tcPr>
            <w:tcW w:w="2233" w:type="dxa"/>
            <w:vAlign w:val="center"/>
          </w:tcPr>
          <w:p>
            <w:pPr>
              <w:widowControl/>
              <w:rPr>
                <w:rFonts w:ascii="宋体" w:hAnsi="宋体" w:cs="宋体"/>
                <w:sz w:val="21"/>
                <w:szCs w:val="21"/>
              </w:rPr>
            </w:pPr>
            <w:r>
              <w:rPr>
                <w:rFonts w:hint="eastAsia" w:ascii="宋体" w:hAnsi="宋体" w:cs="宋体"/>
                <w:sz w:val="21"/>
                <w:szCs w:val="21"/>
              </w:rPr>
              <w:t>房山区文旅局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Align w:val="center"/>
          </w:tcPr>
          <w:p>
            <w:pPr>
              <w:widowControl/>
              <w:jc w:val="center"/>
              <w:rPr>
                <w:rFonts w:ascii="宋体" w:hAnsi="宋体" w:cs="宋体"/>
                <w:sz w:val="21"/>
                <w:szCs w:val="21"/>
              </w:rPr>
            </w:pPr>
            <w:r>
              <w:rPr>
                <w:rFonts w:hint="eastAsia" w:ascii="宋体" w:hAnsi="宋体" w:cs="宋体"/>
                <w:sz w:val="21"/>
                <w:szCs w:val="21"/>
              </w:rPr>
              <w:t>10国家广电总局视频会议</w:t>
            </w:r>
          </w:p>
        </w:tc>
        <w:tc>
          <w:tcPr>
            <w:tcW w:w="709" w:type="dxa"/>
            <w:vAlign w:val="center"/>
          </w:tcPr>
          <w:p>
            <w:pPr>
              <w:jc w:val="center"/>
              <w:rPr>
                <w:rFonts w:ascii="宋体" w:hAnsi="宋体" w:cs="宋体"/>
                <w:sz w:val="21"/>
                <w:szCs w:val="21"/>
              </w:rPr>
            </w:pPr>
            <w:r>
              <w:rPr>
                <w:rFonts w:hint="eastAsia" w:ascii="宋体" w:hAnsi="宋体" w:cs="宋体"/>
                <w:sz w:val="21"/>
                <w:szCs w:val="21"/>
              </w:rPr>
              <w:t>66</w:t>
            </w:r>
          </w:p>
        </w:tc>
        <w:tc>
          <w:tcPr>
            <w:tcW w:w="1409" w:type="dxa"/>
            <w:vAlign w:val="center"/>
          </w:tcPr>
          <w:p>
            <w:pPr>
              <w:widowControl/>
              <w:rPr>
                <w:rFonts w:ascii="宋体" w:hAnsi="宋体" w:cs="宋体"/>
                <w:sz w:val="21"/>
                <w:szCs w:val="21"/>
              </w:rPr>
            </w:pPr>
            <w:r>
              <w:rPr>
                <w:rFonts w:hint="eastAsia" w:ascii="宋体" w:hAnsi="宋体" w:cs="宋体"/>
                <w:sz w:val="21"/>
                <w:szCs w:val="21"/>
              </w:rPr>
              <w:t>广电总局</w:t>
            </w:r>
          </w:p>
        </w:tc>
        <w:tc>
          <w:tcPr>
            <w:tcW w:w="2233" w:type="dxa"/>
            <w:vAlign w:val="center"/>
          </w:tcPr>
          <w:p>
            <w:pPr>
              <w:widowControl/>
              <w:rPr>
                <w:rFonts w:ascii="宋体" w:hAnsi="宋体" w:cs="宋体"/>
                <w:sz w:val="21"/>
                <w:szCs w:val="21"/>
              </w:rPr>
            </w:pPr>
            <w:r>
              <w:rPr>
                <w:rFonts w:hint="eastAsia" w:ascii="宋体" w:hAnsi="宋体" w:cs="宋体"/>
                <w:sz w:val="21"/>
                <w:szCs w:val="21"/>
              </w:rPr>
              <w:t>市广电局</w:t>
            </w:r>
          </w:p>
        </w:tc>
        <w:tc>
          <w:tcPr>
            <w:tcW w:w="1134" w:type="dxa"/>
            <w:vAlign w:val="center"/>
          </w:tcPr>
          <w:p>
            <w:pPr>
              <w:widowControl/>
              <w:rPr>
                <w:rFonts w:ascii="宋体" w:hAnsi="宋体" w:cs="宋体"/>
                <w:sz w:val="21"/>
                <w:szCs w:val="21"/>
              </w:rPr>
            </w:pPr>
            <w:r>
              <w:rPr>
                <w:rFonts w:hint="eastAsia" w:ascii="宋体" w:hAnsi="宋体" w:cs="宋体"/>
                <w:sz w:val="21"/>
                <w:szCs w:val="21"/>
              </w:rPr>
              <w:t>会议室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6</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851" w:type="dxa"/>
            <w:vMerge w:val="restart"/>
            <w:vAlign w:val="center"/>
          </w:tcPr>
          <w:p>
            <w:pPr>
              <w:widowControl/>
              <w:rPr>
                <w:rFonts w:ascii="宋体" w:hAnsi="宋体" w:cs="宋体"/>
                <w:sz w:val="21"/>
                <w:szCs w:val="21"/>
              </w:rPr>
            </w:pPr>
            <w:r>
              <w:rPr>
                <w:rFonts w:hint="eastAsia" w:ascii="宋体" w:hAnsi="宋体" w:cs="宋体"/>
                <w:sz w:val="21"/>
                <w:szCs w:val="21"/>
              </w:rPr>
              <w:t>11国家广电总局指挥调度平台（指挥调度平台+可视终端）</w:t>
            </w:r>
          </w:p>
        </w:tc>
        <w:tc>
          <w:tcPr>
            <w:tcW w:w="709" w:type="dxa"/>
            <w:vAlign w:val="center"/>
          </w:tcPr>
          <w:p>
            <w:pPr>
              <w:jc w:val="center"/>
              <w:rPr>
                <w:rFonts w:ascii="宋体" w:hAnsi="宋体" w:cs="宋体"/>
                <w:sz w:val="21"/>
                <w:szCs w:val="21"/>
              </w:rPr>
            </w:pPr>
            <w:r>
              <w:rPr>
                <w:rFonts w:hint="eastAsia" w:ascii="宋体" w:hAnsi="宋体" w:cs="宋体"/>
                <w:sz w:val="21"/>
                <w:szCs w:val="21"/>
              </w:rPr>
              <w:t>67</w:t>
            </w:r>
          </w:p>
        </w:tc>
        <w:tc>
          <w:tcPr>
            <w:tcW w:w="1409" w:type="dxa"/>
            <w:vAlign w:val="center"/>
          </w:tcPr>
          <w:p>
            <w:pPr>
              <w:widowControl/>
              <w:rPr>
                <w:rFonts w:ascii="宋体" w:hAnsi="宋体" w:cs="宋体"/>
                <w:sz w:val="21"/>
                <w:szCs w:val="21"/>
              </w:rPr>
            </w:pPr>
            <w:r>
              <w:rPr>
                <w:rFonts w:hint="eastAsia" w:ascii="宋体" w:hAnsi="宋体" w:cs="宋体"/>
                <w:sz w:val="21"/>
                <w:szCs w:val="21"/>
              </w:rPr>
              <w:t>广电总局</w:t>
            </w:r>
          </w:p>
        </w:tc>
        <w:tc>
          <w:tcPr>
            <w:tcW w:w="2233" w:type="dxa"/>
            <w:vAlign w:val="center"/>
          </w:tcPr>
          <w:p>
            <w:pPr>
              <w:widowControl/>
              <w:rPr>
                <w:rFonts w:ascii="宋体" w:hAnsi="宋体" w:cs="宋体"/>
                <w:sz w:val="21"/>
                <w:szCs w:val="21"/>
              </w:rPr>
            </w:pPr>
            <w:r>
              <w:rPr>
                <w:rFonts w:hint="eastAsia" w:ascii="宋体" w:hAnsi="宋体" w:cs="宋体"/>
                <w:sz w:val="21"/>
                <w:szCs w:val="21"/>
              </w:rPr>
              <w:t>北京市广播电视局</w:t>
            </w:r>
          </w:p>
        </w:tc>
        <w:tc>
          <w:tcPr>
            <w:tcW w:w="1134" w:type="dxa"/>
            <w:vAlign w:val="center"/>
          </w:tcPr>
          <w:p>
            <w:pPr>
              <w:widowControl/>
              <w:rPr>
                <w:rFonts w:ascii="宋体" w:hAnsi="宋体" w:cs="宋体"/>
                <w:sz w:val="21"/>
                <w:szCs w:val="21"/>
              </w:rPr>
            </w:pPr>
            <w:r>
              <w:rPr>
                <w:rFonts w:hint="eastAsia" w:ascii="宋体" w:hAnsi="宋体" w:cs="宋体"/>
                <w:sz w:val="21"/>
                <w:szCs w:val="21"/>
              </w:rPr>
              <w:t>科技处办公室</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1" w:type="dxa"/>
            <w:vMerge w:val="continue"/>
            <w:vAlign w:val="center"/>
          </w:tcPr>
          <w:p>
            <w:pPr>
              <w:widowControl/>
              <w:rPr>
                <w:rFonts w:ascii="宋体" w:hAnsi="宋体" w:cs="宋体"/>
                <w:sz w:val="21"/>
                <w:szCs w:val="21"/>
              </w:rPr>
            </w:pPr>
          </w:p>
        </w:tc>
        <w:tc>
          <w:tcPr>
            <w:tcW w:w="709" w:type="dxa"/>
            <w:vAlign w:val="center"/>
          </w:tcPr>
          <w:p>
            <w:pPr>
              <w:jc w:val="center"/>
              <w:rPr>
                <w:rFonts w:ascii="宋体" w:hAnsi="宋体" w:cs="宋体"/>
                <w:sz w:val="21"/>
                <w:szCs w:val="21"/>
              </w:rPr>
            </w:pPr>
            <w:r>
              <w:rPr>
                <w:rFonts w:hint="eastAsia" w:ascii="宋体" w:hAnsi="宋体" w:cs="宋体"/>
                <w:sz w:val="21"/>
                <w:szCs w:val="21"/>
              </w:rPr>
              <w:t>68</w:t>
            </w:r>
          </w:p>
        </w:tc>
        <w:tc>
          <w:tcPr>
            <w:tcW w:w="1409" w:type="dxa"/>
            <w:vAlign w:val="center"/>
          </w:tcPr>
          <w:p>
            <w:pPr>
              <w:widowControl/>
              <w:rPr>
                <w:rFonts w:ascii="宋体" w:hAnsi="宋体" w:cs="宋体"/>
                <w:sz w:val="21"/>
                <w:szCs w:val="21"/>
              </w:rPr>
            </w:pPr>
            <w:r>
              <w:rPr>
                <w:rFonts w:hint="eastAsia" w:ascii="宋体" w:hAnsi="宋体" w:cs="宋体"/>
                <w:sz w:val="21"/>
                <w:szCs w:val="21"/>
              </w:rPr>
              <w:t>广电总局</w:t>
            </w:r>
          </w:p>
        </w:tc>
        <w:tc>
          <w:tcPr>
            <w:tcW w:w="2233" w:type="dxa"/>
            <w:vAlign w:val="center"/>
          </w:tcPr>
          <w:p>
            <w:pPr>
              <w:widowControl/>
              <w:rPr>
                <w:rFonts w:ascii="宋体" w:hAnsi="宋体" w:cs="宋体"/>
                <w:sz w:val="21"/>
                <w:szCs w:val="21"/>
              </w:rPr>
            </w:pPr>
            <w:r>
              <w:rPr>
                <w:rFonts w:hint="eastAsia" w:ascii="宋体" w:hAnsi="宋体" w:cs="宋体"/>
                <w:sz w:val="21"/>
                <w:szCs w:val="21"/>
              </w:rPr>
              <w:t>监测中心</w:t>
            </w:r>
          </w:p>
        </w:tc>
        <w:tc>
          <w:tcPr>
            <w:tcW w:w="1134" w:type="dxa"/>
            <w:vAlign w:val="center"/>
          </w:tcPr>
          <w:p>
            <w:pPr>
              <w:widowControl/>
              <w:rPr>
                <w:rFonts w:ascii="宋体" w:hAnsi="宋体" w:cs="宋体"/>
                <w:sz w:val="21"/>
                <w:szCs w:val="21"/>
              </w:rPr>
            </w:pPr>
            <w:r>
              <w:rPr>
                <w:rFonts w:hint="eastAsia" w:ascii="宋体" w:hAnsi="宋体" w:cs="宋体"/>
                <w:sz w:val="21"/>
                <w:szCs w:val="21"/>
              </w:rPr>
              <w:t>19层监测大厅</w:t>
            </w:r>
          </w:p>
        </w:tc>
        <w:tc>
          <w:tcPr>
            <w:tcW w:w="611" w:type="dxa"/>
            <w:vAlign w:val="center"/>
          </w:tcPr>
          <w:p>
            <w:pPr>
              <w:widowControl/>
              <w:jc w:val="center"/>
              <w:rPr>
                <w:rFonts w:ascii="宋体" w:hAnsi="宋体" w:cs="宋体"/>
                <w:sz w:val="21"/>
                <w:szCs w:val="21"/>
              </w:rPr>
            </w:pPr>
            <w:r>
              <w:rPr>
                <w:rFonts w:hint="eastAsia" w:ascii="宋体" w:hAnsi="宋体" w:cs="宋体"/>
                <w:sz w:val="21"/>
                <w:szCs w:val="21"/>
              </w:rPr>
              <w:t>1</w:t>
            </w:r>
          </w:p>
        </w:tc>
        <w:tc>
          <w:tcPr>
            <w:tcW w:w="992" w:type="dxa"/>
            <w:vAlign w:val="center"/>
          </w:tcPr>
          <w:p>
            <w:pPr>
              <w:widowControl/>
              <w:jc w:val="center"/>
              <w:rPr>
                <w:rFonts w:ascii="宋体" w:hAnsi="宋体" w:cs="宋体"/>
                <w:sz w:val="21"/>
                <w:szCs w:val="21"/>
              </w:rPr>
            </w:pPr>
            <w:r>
              <w:rPr>
                <w:rFonts w:hint="eastAsia" w:ascii="宋体" w:hAnsi="宋体" w:cs="宋体"/>
                <w:sz w:val="21"/>
                <w:szCs w:val="21"/>
              </w:rPr>
              <w:t>100</w:t>
            </w:r>
          </w:p>
        </w:tc>
        <w:tc>
          <w:tcPr>
            <w:tcW w:w="737" w:type="dxa"/>
            <w:vAlign w:val="center"/>
          </w:tcPr>
          <w:p>
            <w:pPr>
              <w:widowControl/>
              <w:jc w:val="center"/>
              <w:rPr>
                <w:rFonts w:ascii="宋体" w:hAnsi="宋体" w:cs="宋体"/>
                <w:sz w:val="21"/>
                <w:szCs w:val="21"/>
              </w:rPr>
            </w:pPr>
            <w:r>
              <w:rPr>
                <w:rFonts w:hint="eastAsia" w:ascii="宋体" w:hAnsi="宋体" w:cs="宋体"/>
                <w:sz w:val="21"/>
                <w:szCs w:val="21"/>
              </w:rPr>
              <w:t>PTN</w:t>
            </w:r>
          </w:p>
        </w:tc>
        <w:tc>
          <w:tcPr>
            <w:tcW w:w="932" w:type="dxa"/>
            <w:vAlign w:val="center"/>
          </w:tcPr>
          <w:p>
            <w:pPr>
              <w:widowControl/>
              <w:jc w:val="center"/>
              <w:rPr>
                <w:rFonts w:ascii="宋体" w:hAnsi="宋体" w:cs="宋体"/>
                <w:sz w:val="21"/>
                <w:szCs w:val="21"/>
              </w:rPr>
            </w:pPr>
            <w:r>
              <w:rPr>
                <w:rFonts w:hint="eastAsia" w:ascii="宋体" w:hAnsi="宋体" w:cs="宋体"/>
                <w:sz w:val="21"/>
                <w:szCs w:val="21"/>
              </w:rPr>
              <w:t>以太网</w:t>
            </w:r>
          </w:p>
        </w:tc>
      </w:tr>
    </w:tbl>
    <w:p>
      <w:pPr>
        <w:spacing w:after="120" w:line="360" w:lineRule="auto"/>
        <w:rPr>
          <w:rFonts w:ascii="宋体" w:hAnsi="宋体" w:cs="宋体"/>
          <w:sz w:val="21"/>
          <w:szCs w:val="21"/>
        </w:rPr>
      </w:pPr>
    </w:p>
    <w:p>
      <w:pPr>
        <w:spacing w:after="120" w:line="360" w:lineRule="auto"/>
        <w:ind w:firstLine="465"/>
        <w:rPr>
          <w:rFonts w:ascii="宋体" w:hAnsi="宋体" w:cs="宋体"/>
          <w:b/>
          <w:sz w:val="21"/>
          <w:szCs w:val="21"/>
        </w:rPr>
      </w:pPr>
      <w:r>
        <w:rPr>
          <w:rFonts w:hint="eastAsia" w:ascii="宋体" w:hAnsi="宋体" w:cs="宋体"/>
          <w:sz w:val="21"/>
          <w:szCs w:val="21"/>
        </w:rPr>
        <w:t>三、</w:t>
      </w:r>
      <w:r>
        <w:rPr>
          <w:rFonts w:hint="eastAsia" w:ascii="宋体" w:hAnsi="宋体" w:cs="宋体"/>
          <w:b/>
          <w:sz w:val="21"/>
          <w:szCs w:val="21"/>
        </w:rPr>
        <w:t>服务要求</w:t>
      </w:r>
    </w:p>
    <w:p>
      <w:pPr>
        <w:spacing w:after="120" w:line="360" w:lineRule="auto"/>
        <w:ind w:firstLine="465"/>
        <w:rPr>
          <w:rFonts w:ascii="宋体" w:hAnsi="宋体" w:cs="宋体"/>
          <w:sz w:val="21"/>
          <w:szCs w:val="21"/>
        </w:rPr>
      </w:pPr>
      <w:r>
        <w:rPr>
          <w:rFonts w:hint="eastAsia" w:ascii="宋体" w:hAnsi="宋体" w:cs="宋体"/>
          <w:sz w:val="21"/>
          <w:szCs w:val="21"/>
        </w:rPr>
        <w:t>投标人应提供详细的项目服务方案和实施方案，服务方案包括组网方式、网络带宽、接入方式、备份网络等。</w:t>
      </w:r>
    </w:p>
    <w:p>
      <w:pPr>
        <w:spacing w:line="360" w:lineRule="auto"/>
        <w:ind w:firstLine="465"/>
        <w:rPr>
          <w:rFonts w:ascii="宋体" w:hAnsi="宋体" w:cs="宋体"/>
          <w:b/>
          <w:sz w:val="21"/>
          <w:szCs w:val="21"/>
        </w:rPr>
      </w:pPr>
      <w:r>
        <w:rPr>
          <w:rFonts w:hint="eastAsia" w:ascii="宋体" w:hAnsi="宋体" w:cs="宋体"/>
          <w:b/>
          <w:sz w:val="21"/>
          <w:szCs w:val="21"/>
        </w:rPr>
        <w:t>（一）网络服务要求</w:t>
      </w:r>
    </w:p>
    <w:p>
      <w:pPr>
        <w:spacing w:line="360" w:lineRule="auto"/>
        <w:ind w:firstLine="465"/>
        <w:rPr>
          <w:rFonts w:ascii="宋体" w:hAnsi="宋体" w:cs="宋体"/>
          <w:sz w:val="21"/>
          <w:szCs w:val="21"/>
        </w:rPr>
      </w:pPr>
      <w:r>
        <w:rPr>
          <w:rFonts w:hint="eastAsia" w:ascii="宋体" w:hAnsi="宋体" w:cs="宋体"/>
          <w:sz w:val="21"/>
          <w:szCs w:val="21"/>
        </w:rPr>
        <w:t>（1）为广播电视监测系统、安全播出可视指挥调度提供不间断专网传输服务。</w:t>
      </w:r>
    </w:p>
    <w:p>
      <w:pPr>
        <w:spacing w:line="360" w:lineRule="auto"/>
        <w:ind w:firstLine="465"/>
        <w:rPr>
          <w:rFonts w:ascii="宋体" w:hAnsi="宋体" w:cs="宋体"/>
          <w:sz w:val="21"/>
          <w:szCs w:val="21"/>
        </w:rPr>
      </w:pPr>
      <w:r>
        <w:rPr>
          <w:rFonts w:hint="eastAsia" w:ascii="宋体" w:hAnsi="宋体" w:cs="宋体"/>
          <w:sz w:val="21"/>
          <w:szCs w:val="21"/>
        </w:rPr>
        <w:t>（2）主干光路和主要设备可用率大于99.99％以上,信号传输误码率、时延等应符合国家相关标准。</w:t>
      </w:r>
    </w:p>
    <w:p>
      <w:pPr>
        <w:spacing w:line="360" w:lineRule="auto"/>
        <w:ind w:firstLine="465"/>
        <w:rPr>
          <w:rFonts w:ascii="宋体" w:hAnsi="宋体" w:cs="宋体"/>
          <w:sz w:val="21"/>
          <w:szCs w:val="21"/>
        </w:rPr>
      </w:pPr>
      <w:r>
        <w:rPr>
          <w:rFonts w:hint="eastAsia" w:ascii="宋体" w:hAnsi="宋体" w:cs="宋体"/>
          <w:sz w:val="21"/>
          <w:szCs w:val="21"/>
        </w:rPr>
        <w:t>（3）因外部原因导致专线调整、维修、变更的，应提前3个工作日通知监测中心。</w:t>
      </w:r>
    </w:p>
    <w:p>
      <w:pPr>
        <w:spacing w:line="360" w:lineRule="auto"/>
        <w:ind w:firstLine="465"/>
        <w:rPr>
          <w:rFonts w:ascii="宋体" w:hAnsi="宋体" w:cs="宋体"/>
          <w:b/>
          <w:sz w:val="21"/>
          <w:szCs w:val="21"/>
        </w:rPr>
      </w:pPr>
      <w:r>
        <w:rPr>
          <w:rFonts w:hint="eastAsia" w:ascii="宋体" w:hAnsi="宋体" w:cs="宋体"/>
          <w:b/>
          <w:sz w:val="21"/>
          <w:szCs w:val="21"/>
        </w:rPr>
        <w:t>（二）项目实施团队</w:t>
      </w:r>
    </w:p>
    <w:p>
      <w:pPr>
        <w:spacing w:line="360" w:lineRule="auto"/>
        <w:ind w:firstLine="420" w:firstLineChars="200"/>
        <w:rPr>
          <w:rFonts w:ascii="宋体" w:hAnsi="宋体" w:cs="宋体"/>
          <w:sz w:val="21"/>
          <w:szCs w:val="21"/>
        </w:rPr>
      </w:pPr>
      <w:r>
        <w:rPr>
          <w:rFonts w:hint="eastAsia" w:ascii="宋体" w:hAnsi="宋体" w:cs="宋体"/>
          <w:sz w:val="21"/>
          <w:szCs w:val="21"/>
        </w:rPr>
        <w:t>投标人应为本项目实施配备24小时响应的技术人员，负责接收网络报障及排障，技术人员应具备2年以上专网维护工作经验，以及国家主管部门颁发的网络或通信专业中级</w:t>
      </w:r>
      <w:r>
        <w:rPr>
          <w:rFonts w:ascii="宋体" w:hAnsi="宋体" w:cs="宋体"/>
          <w:sz w:val="21"/>
          <w:szCs w:val="21"/>
        </w:rPr>
        <w:t xml:space="preserve"> (</w:t>
      </w:r>
      <w:r>
        <w:rPr>
          <w:rFonts w:hint="eastAsia" w:ascii="宋体" w:hAnsi="宋体" w:cs="宋体"/>
          <w:sz w:val="21"/>
          <w:szCs w:val="21"/>
        </w:rPr>
        <w:t>含</w:t>
      </w:r>
      <w:r>
        <w:rPr>
          <w:rFonts w:ascii="宋体" w:hAnsi="宋体" w:cs="宋体"/>
          <w:sz w:val="21"/>
          <w:szCs w:val="21"/>
        </w:rPr>
        <w:t>)</w:t>
      </w:r>
      <w:r>
        <w:rPr>
          <w:rFonts w:hint="eastAsia" w:ascii="宋体" w:hAnsi="宋体" w:cs="宋体"/>
          <w:sz w:val="21"/>
          <w:szCs w:val="21"/>
        </w:rPr>
        <w:t>以上工程师资格，熟悉PTN网络，经验丰富具备维护技能；并派专人负责售后服务。</w:t>
      </w:r>
    </w:p>
    <w:p>
      <w:pPr>
        <w:spacing w:line="360" w:lineRule="auto"/>
        <w:ind w:firstLine="420" w:firstLineChars="200"/>
        <w:rPr>
          <w:rFonts w:ascii="宋体" w:hAnsi="宋体" w:cs="宋体"/>
          <w:sz w:val="21"/>
          <w:szCs w:val="21"/>
          <w:highlight w:val="yellow"/>
        </w:rPr>
      </w:pPr>
      <w:r>
        <w:rPr>
          <w:rFonts w:hint="eastAsia" w:ascii="宋体" w:hAnsi="宋体" w:cs="宋体"/>
          <w:sz w:val="21"/>
          <w:szCs w:val="21"/>
        </w:rPr>
        <w:t>团队人员需提供人员简历。</w:t>
      </w:r>
    </w:p>
    <w:p>
      <w:pPr>
        <w:spacing w:line="360" w:lineRule="auto"/>
        <w:ind w:firstLine="465"/>
        <w:rPr>
          <w:rFonts w:ascii="宋体" w:hAnsi="宋体" w:cs="宋体"/>
          <w:b/>
          <w:sz w:val="21"/>
          <w:szCs w:val="21"/>
        </w:rPr>
      </w:pPr>
      <w:r>
        <w:rPr>
          <w:rFonts w:hint="eastAsia" w:ascii="宋体" w:hAnsi="宋体" w:cs="宋体"/>
          <w:b/>
          <w:sz w:val="21"/>
          <w:szCs w:val="21"/>
        </w:rPr>
        <w:t>（三）租用期内服务</w:t>
      </w:r>
    </w:p>
    <w:p>
      <w:pPr>
        <w:spacing w:line="360" w:lineRule="auto"/>
        <w:ind w:firstLine="465"/>
        <w:rPr>
          <w:rFonts w:ascii="宋体" w:hAnsi="宋体" w:cs="宋体"/>
          <w:sz w:val="21"/>
          <w:szCs w:val="21"/>
        </w:rPr>
      </w:pPr>
      <w:r>
        <w:rPr>
          <w:rFonts w:hint="eastAsia" w:ascii="宋体" w:hAnsi="宋体" w:cs="宋体"/>
          <w:sz w:val="21"/>
          <w:szCs w:val="21"/>
        </w:rPr>
        <w:t>投标人应提供本项目租用期内的详细服务方案，应包括组网方案、维护团队、应急处置等内容。</w:t>
      </w:r>
    </w:p>
    <w:p>
      <w:pPr>
        <w:spacing w:line="360" w:lineRule="auto"/>
        <w:ind w:firstLine="465"/>
        <w:rPr>
          <w:rFonts w:ascii="宋体" w:hAnsi="宋体" w:cs="宋体"/>
          <w:sz w:val="21"/>
          <w:szCs w:val="21"/>
        </w:rPr>
      </w:pPr>
      <w:r>
        <w:rPr>
          <w:rFonts w:hint="eastAsia" w:ascii="宋体" w:hAnsi="宋体" w:cs="宋体"/>
          <w:sz w:val="21"/>
          <w:szCs w:val="21"/>
        </w:rPr>
        <w:t>投标人应提供7×24热线人工值守以及响应电话，7×24全天候技术支持响应，当设备出现故障时，采购人在任何时候可以得到及时响应和故障及时解决。</w:t>
      </w:r>
    </w:p>
    <w:p>
      <w:pPr>
        <w:spacing w:line="360" w:lineRule="auto"/>
        <w:ind w:firstLine="465"/>
        <w:rPr>
          <w:rFonts w:ascii="宋体" w:hAnsi="宋体" w:cs="宋体"/>
          <w:b/>
          <w:sz w:val="21"/>
          <w:szCs w:val="21"/>
        </w:rPr>
      </w:pPr>
      <w:r>
        <w:rPr>
          <w:rFonts w:hint="eastAsia" w:ascii="宋体" w:hAnsi="宋体" w:cs="宋体"/>
          <w:b/>
          <w:sz w:val="21"/>
          <w:szCs w:val="21"/>
        </w:rPr>
        <w:t>1. 运行维护</w:t>
      </w:r>
    </w:p>
    <w:p>
      <w:pPr>
        <w:spacing w:line="360" w:lineRule="auto"/>
        <w:ind w:firstLine="540"/>
        <w:rPr>
          <w:rFonts w:ascii="宋体" w:hAnsi="宋体" w:cs="宋体"/>
          <w:sz w:val="21"/>
          <w:szCs w:val="21"/>
        </w:rPr>
      </w:pPr>
      <w:r>
        <w:rPr>
          <w:rFonts w:hint="eastAsia" w:ascii="宋体" w:hAnsi="宋体" w:cs="宋体"/>
          <w:sz w:val="21"/>
          <w:szCs w:val="21"/>
        </w:rPr>
        <w:t>投标人应提供运行维护方案，内容应详细具体、可行且具有针对性，租用期内应当按照采购人的要求，定期进行巡检，保障正常运行使用。</w:t>
      </w:r>
    </w:p>
    <w:p>
      <w:pPr>
        <w:spacing w:line="360" w:lineRule="auto"/>
        <w:rPr>
          <w:rFonts w:ascii="宋体" w:hAnsi="宋体" w:cs="宋体"/>
          <w:sz w:val="21"/>
          <w:szCs w:val="21"/>
        </w:rPr>
      </w:pPr>
      <w:r>
        <w:rPr>
          <w:rFonts w:hint="eastAsia" w:ascii="宋体" w:hAnsi="宋体" w:cs="宋体"/>
          <w:sz w:val="21"/>
          <w:szCs w:val="21"/>
        </w:rPr>
        <w:t xml:space="preserve">    （1）巡检维护</w:t>
      </w:r>
    </w:p>
    <w:p>
      <w:pPr>
        <w:spacing w:line="360" w:lineRule="auto"/>
        <w:ind w:firstLine="420" w:firstLineChars="200"/>
        <w:rPr>
          <w:rFonts w:ascii="宋体" w:hAnsi="宋体" w:cs="宋体"/>
          <w:sz w:val="21"/>
          <w:szCs w:val="21"/>
        </w:rPr>
      </w:pPr>
      <w:r>
        <w:rPr>
          <w:rFonts w:hint="eastAsia" w:ascii="宋体" w:hAnsi="宋体" w:cs="宋体"/>
          <w:sz w:val="21"/>
          <w:szCs w:val="21"/>
        </w:rPr>
        <w:t>每季度对广播电视监测系统、安全播出可视指挥调度专网进行巡检。包括对光路电路、传输线路的运行状况进行检查，巡检完成后向监测中心提交巡检报告。</w:t>
      </w:r>
    </w:p>
    <w:p>
      <w:pPr>
        <w:spacing w:line="360" w:lineRule="auto"/>
        <w:rPr>
          <w:rFonts w:ascii="宋体" w:hAnsi="宋体" w:cs="宋体"/>
          <w:sz w:val="21"/>
          <w:szCs w:val="21"/>
        </w:rPr>
      </w:pPr>
      <w:r>
        <w:rPr>
          <w:rFonts w:hint="eastAsia" w:ascii="宋体" w:hAnsi="宋体" w:cs="宋体"/>
          <w:sz w:val="21"/>
          <w:szCs w:val="21"/>
        </w:rPr>
        <w:t xml:space="preserve">    （2）巡检维护报告</w:t>
      </w:r>
    </w:p>
    <w:p>
      <w:pPr>
        <w:spacing w:line="360" w:lineRule="auto"/>
        <w:ind w:firstLine="540"/>
        <w:rPr>
          <w:rFonts w:ascii="宋体" w:hAnsi="宋体" w:cs="宋体"/>
          <w:sz w:val="21"/>
          <w:szCs w:val="21"/>
        </w:rPr>
      </w:pPr>
      <w:r>
        <w:rPr>
          <w:rFonts w:hint="eastAsia" w:ascii="宋体" w:hAnsi="宋体" w:cs="宋体"/>
          <w:sz w:val="21"/>
          <w:szCs w:val="21"/>
        </w:rPr>
        <w:t>巡检报告包括：巡检内容概述、网络保障情况、故障处理情况等。</w:t>
      </w:r>
    </w:p>
    <w:p>
      <w:pPr>
        <w:spacing w:line="360" w:lineRule="auto"/>
        <w:ind w:firstLine="540"/>
        <w:rPr>
          <w:rFonts w:ascii="宋体" w:hAnsi="宋体" w:cs="宋体"/>
          <w:sz w:val="21"/>
          <w:szCs w:val="21"/>
        </w:rPr>
      </w:pPr>
      <w:r>
        <w:rPr>
          <w:rFonts w:hint="eastAsia" w:ascii="宋体" w:hAnsi="宋体" w:cs="宋体"/>
          <w:b/>
          <w:sz w:val="21"/>
          <w:szCs w:val="21"/>
        </w:rPr>
        <w:t>2. 应急处置</w:t>
      </w:r>
    </w:p>
    <w:p>
      <w:pPr>
        <w:spacing w:line="360" w:lineRule="auto"/>
        <w:ind w:firstLine="540"/>
        <w:rPr>
          <w:rFonts w:ascii="宋体" w:hAnsi="宋体" w:cs="宋体"/>
          <w:sz w:val="21"/>
          <w:szCs w:val="21"/>
        </w:rPr>
      </w:pPr>
      <w:r>
        <w:rPr>
          <w:rFonts w:hint="eastAsia" w:ascii="宋体" w:hAnsi="宋体" w:cs="宋体"/>
          <w:sz w:val="21"/>
          <w:szCs w:val="21"/>
        </w:rPr>
        <w:t>投标人应提供详细具体可行且具有针对性的《应急预案》，确保设备突发故障得到及时有效处置，保障网络安全稳定运行。</w:t>
      </w:r>
    </w:p>
    <w:p>
      <w:pPr>
        <w:spacing w:line="360" w:lineRule="auto"/>
        <w:ind w:firstLine="540"/>
        <w:rPr>
          <w:rFonts w:ascii="宋体" w:hAnsi="宋体" w:cs="宋体"/>
          <w:sz w:val="21"/>
          <w:szCs w:val="21"/>
        </w:rPr>
      </w:pPr>
      <w:r>
        <w:rPr>
          <w:rFonts w:hint="eastAsia" w:ascii="宋体" w:hAnsi="宋体" w:cs="宋体"/>
          <w:sz w:val="21"/>
          <w:szCs w:val="21"/>
        </w:rPr>
        <w:t>《应急预案》包括应急处置团队、成员职责分工及联系电话、应急处置流程、抢修时限等内容。</w:t>
      </w:r>
    </w:p>
    <w:p>
      <w:pPr>
        <w:spacing w:line="360" w:lineRule="auto"/>
        <w:ind w:firstLine="540"/>
        <w:rPr>
          <w:rFonts w:ascii="宋体" w:hAnsi="宋体" w:cs="宋体"/>
          <w:sz w:val="21"/>
          <w:szCs w:val="21"/>
        </w:rPr>
      </w:pPr>
      <w:r>
        <w:rPr>
          <w:rFonts w:hint="eastAsia" w:ascii="宋体" w:hAnsi="宋体" w:cs="宋体"/>
          <w:sz w:val="21"/>
          <w:szCs w:val="21"/>
        </w:rPr>
        <w:t>如遇机房改造线路升级或重大活动线路保障，须以电子或传真形式通知监测中心。</w:t>
      </w:r>
    </w:p>
    <w:p>
      <w:pPr>
        <w:spacing w:line="360" w:lineRule="auto"/>
        <w:ind w:firstLine="540"/>
        <w:rPr>
          <w:rFonts w:ascii="宋体" w:hAnsi="宋体" w:cs="宋体"/>
          <w:sz w:val="21"/>
          <w:szCs w:val="21"/>
        </w:rPr>
      </w:pPr>
      <w:r>
        <w:rPr>
          <w:rFonts w:hint="eastAsia" w:ascii="宋体" w:hAnsi="宋体" w:cs="宋体"/>
          <w:sz w:val="21"/>
          <w:szCs w:val="21"/>
        </w:rPr>
        <w:t>突发情况造成专线中断，须在2小时内确定故障点并到达事故现场，4小时内恢复专线传输，及时报告监测中心并在2个工作日内向监测中心提交详细故障处理报告。</w:t>
      </w:r>
    </w:p>
    <w:p>
      <w:pPr>
        <w:spacing w:line="360" w:lineRule="auto"/>
        <w:ind w:firstLine="465"/>
        <w:rPr>
          <w:rFonts w:ascii="宋体" w:hAnsi="宋体" w:cs="宋体"/>
          <w:b/>
          <w:sz w:val="21"/>
          <w:szCs w:val="21"/>
        </w:rPr>
      </w:pPr>
      <w:r>
        <w:rPr>
          <w:rFonts w:hint="eastAsia" w:ascii="宋体" w:hAnsi="宋体" w:cs="宋体"/>
          <w:b/>
          <w:sz w:val="21"/>
          <w:szCs w:val="21"/>
        </w:rPr>
        <w:t>3. 备品备件</w:t>
      </w:r>
    </w:p>
    <w:p>
      <w:pPr>
        <w:spacing w:line="360" w:lineRule="auto"/>
        <w:ind w:firstLine="420" w:firstLineChars="200"/>
        <w:rPr>
          <w:rFonts w:ascii="宋体" w:hAnsi="宋体" w:cs="宋体"/>
          <w:sz w:val="21"/>
          <w:szCs w:val="21"/>
        </w:rPr>
      </w:pPr>
      <w:r>
        <w:rPr>
          <w:rFonts w:hint="eastAsia" w:ascii="宋体" w:hAnsi="宋体" w:cs="宋体"/>
          <w:sz w:val="21"/>
          <w:szCs w:val="21"/>
          <w:lang w:val="en-GB"/>
        </w:rPr>
        <w:t>应具有确保专线畅通所需关键设备的备品备件及维护工具。</w:t>
      </w:r>
    </w:p>
    <w:p>
      <w:pPr>
        <w:spacing w:line="360" w:lineRule="auto"/>
        <w:ind w:firstLine="540"/>
        <w:rPr>
          <w:rFonts w:ascii="宋体" w:hAnsi="宋体" w:cs="宋体"/>
          <w:sz w:val="21"/>
          <w:szCs w:val="21"/>
        </w:rPr>
      </w:pPr>
    </w:p>
    <w:p>
      <w:pPr>
        <w:spacing w:line="360" w:lineRule="auto"/>
        <w:ind w:firstLine="422" w:firstLineChars="200"/>
        <w:rPr>
          <w:rFonts w:ascii="宋体" w:hAnsi="宋体" w:cs="宋体"/>
          <w:b/>
          <w:sz w:val="21"/>
          <w:szCs w:val="21"/>
        </w:rPr>
      </w:pPr>
      <w:r>
        <w:rPr>
          <w:rFonts w:hint="eastAsia" w:ascii="宋体" w:hAnsi="宋体" w:cs="宋体"/>
          <w:b/>
          <w:sz w:val="21"/>
          <w:szCs w:val="21"/>
        </w:rPr>
        <w:t>四、服务时间地点</w:t>
      </w:r>
    </w:p>
    <w:p>
      <w:pPr>
        <w:spacing w:line="360" w:lineRule="auto"/>
        <w:ind w:firstLine="420" w:firstLineChars="200"/>
        <w:rPr>
          <w:rFonts w:ascii="宋体" w:hAnsi="宋体" w:cs="宋体"/>
          <w:sz w:val="21"/>
          <w:szCs w:val="21"/>
          <w:highlight w:val="yellow"/>
          <w:lang w:val="en-GB"/>
        </w:rPr>
      </w:pPr>
      <w:r>
        <w:rPr>
          <w:rFonts w:hint="eastAsia" w:ascii="宋体" w:hAnsi="宋体" w:cs="宋体"/>
          <w:sz w:val="21"/>
          <w:szCs w:val="21"/>
          <w:lang w:val="en-GB"/>
        </w:rPr>
        <w:t>服务时间：2023年7月1日前完成网络调试工作。</w:t>
      </w:r>
    </w:p>
    <w:p>
      <w:pPr>
        <w:spacing w:line="360" w:lineRule="auto"/>
        <w:ind w:firstLine="420" w:firstLineChars="200"/>
        <w:rPr>
          <w:rFonts w:ascii="宋体" w:hAnsi="宋体" w:cs="宋体"/>
          <w:sz w:val="21"/>
          <w:szCs w:val="21"/>
          <w:lang w:val="en-GB"/>
        </w:rPr>
      </w:pPr>
      <w:r>
        <w:rPr>
          <w:rFonts w:hint="eastAsia" w:ascii="宋体" w:hAnsi="宋体" w:cs="宋体"/>
          <w:sz w:val="21"/>
          <w:szCs w:val="21"/>
          <w:lang w:val="en-GB"/>
        </w:rPr>
        <w:t>服务地点：采购人指定接入点。</w:t>
      </w:r>
    </w:p>
    <w:p>
      <w:pPr>
        <w:spacing w:after="120" w:line="360" w:lineRule="auto"/>
        <w:ind w:left="480" w:leftChars="200" w:firstLine="420" w:firstLineChars="200"/>
        <w:rPr>
          <w:rFonts w:ascii="宋体" w:hAnsi="宋体" w:cs="宋体"/>
          <w:sz w:val="21"/>
          <w:szCs w:val="21"/>
        </w:rPr>
      </w:pPr>
    </w:p>
    <w:p>
      <w:pPr>
        <w:spacing w:line="360" w:lineRule="auto"/>
        <w:ind w:firstLine="422" w:firstLineChars="200"/>
        <w:rPr>
          <w:rFonts w:ascii="宋体" w:hAnsi="宋体" w:cs="宋体"/>
          <w:b/>
          <w:sz w:val="21"/>
          <w:szCs w:val="21"/>
        </w:rPr>
      </w:pPr>
      <w:r>
        <w:rPr>
          <w:rFonts w:hint="eastAsia" w:ascii="宋体" w:hAnsi="宋体" w:cs="宋体"/>
          <w:b/>
          <w:sz w:val="21"/>
          <w:szCs w:val="21"/>
        </w:rPr>
        <w:t>五、服务期限</w:t>
      </w:r>
    </w:p>
    <w:p>
      <w:pPr>
        <w:spacing w:line="360" w:lineRule="auto"/>
        <w:ind w:firstLine="420" w:firstLineChars="200"/>
        <w:rPr>
          <w:rFonts w:ascii="宋体" w:hAnsi="宋体" w:cs="宋体"/>
          <w:b/>
          <w:color w:val="FF0000"/>
          <w:sz w:val="21"/>
          <w:szCs w:val="21"/>
        </w:rPr>
      </w:pPr>
      <w:r>
        <w:rPr>
          <w:rFonts w:hint="eastAsia" w:ascii="宋体" w:hAnsi="宋体" w:cs="宋体"/>
          <w:sz w:val="21"/>
          <w:szCs w:val="21"/>
        </w:rPr>
        <w:t>服务期1年， 2023年7月1日至2024年6月30日。</w:t>
      </w:r>
    </w:p>
    <w:p>
      <w:pPr>
        <w:spacing w:line="360" w:lineRule="auto"/>
        <w:ind w:firstLine="422" w:firstLineChars="200"/>
        <w:rPr>
          <w:rFonts w:ascii="宋体" w:hAnsi="宋体" w:cs="宋体"/>
          <w:b/>
          <w:color w:val="FF0000"/>
          <w:sz w:val="21"/>
          <w:szCs w:val="21"/>
        </w:rPr>
      </w:pPr>
    </w:p>
    <w:p>
      <w:pPr>
        <w:spacing w:line="360" w:lineRule="auto"/>
        <w:ind w:firstLine="422" w:firstLineChars="200"/>
        <w:rPr>
          <w:rFonts w:ascii="宋体" w:hAnsi="宋体" w:cs="宋体"/>
          <w:b/>
          <w:sz w:val="21"/>
          <w:szCs w:val="21"/>
        </w:rPr>
      </w:pPr>
      <w:r>
        <w:rPr>
          <w:rFonts w:hint="eastAsia" w:ascii="宋体" w:hAnsi="宋体" w:cs="宋体"/>
          <w:b/>
          <w:sz w:val="21"/>
          <w:szCs w:val="21"/>
        </w:rPr>
        <w:t>六、质量保证</w:t>
      </w:r>
    </w:p>
    <w:p>
      <w:pPr>
        <w:spacing w:line="360" w:lineRule="auto"/>
        <w:ind w:firstLine="420" w:firstLineChars="200"/>
        <w:rPr>
          <w:rFonts w:ascii="宋体" w:hAnsi="宋体" w:cs="宋体"/>
          <w:sz w:val="21"/>
          <w:szCs w:val="21"/>
          <w:lang w:val="en-GB"/>
        </w:rPr>
      </w:pPr>
      <w:r>
        <w:rPr>
          <w:rFonts w:hint="eastAsia" w:ascii="宋体" w:hAnsi="宋体" w:cs="宋体"/>
          <w:sz w:val="21"/>
          <w:szCs w:val="21"/>
          <w:lang w:val="en-GB"/>
        </w:rPr>
        <w:t>投标人应承诺提供的网络资源符合招标文件规定的数量、带宽和网络类型要求。</w:t>
      </w:r>
    </w:p>
    <w:p>
      <w:pPr>
        <w:spacing w:line="360" w:lineRule="auto"/>
        <w:ind w:firstLine="420" w:firstLineChars="200"/>
        <w:rPr>
          <w:rFonts w:ascii="宋体" w:hAnsi="宋体" w:cs="宋体"/>
          <w:sz w:val="21"/>
          <w:szCs w:val="21"/>
        </w:rPr>
      </w:pPr>
      <w:r>
        <w:rPr>
          <w:rFonts w:hint="eastAsia" w:ascii="宋体" w:hAnsi="宋体" w:cs="宋体"/>
          <w:sz w:val="21"/>
          <w:szCs w:val="21"/>
        </w:rPr>
        <w:t>本项目质量保证期同租用期。</w:t>
      </w:r>
    </w:p>
    <w:p>
      <w:pPr>
        <w:spacing w:after="120" w:line="360" w:lineRule="auto"/>
        <w:ind w:left="480" w:leftChars="200" w:firstLine="420" w:firstLineChars="200"/>
        <w:rPr>
          <w:rFonts w:ascii="宋体" w:hAnsi="宋体" w:cs="宋体"/>
          <w:sz w:val="21"/>
          <w:szCs w:val="21"/>
        </w:rPr>
      </w:pPr>
    </w:p>
    <w:p>
      <w:pPr>
        <w:spacing w:line="360" w:lineRule="auto"/>
        <w:ind w:firstLine="422" w:firstLineChars="200"/>
        <w:rPr>
          <w:rFonts w:ascii="宋体" w:hAnsi="宋体" w:cs="宋体"/>
          <w:b/>
          <w:sz w:val="21"/>
          <w:szCs w:val="21"/>
        </w:rPr>
      </w:pPr>
      <w:r>
        <w:rPr>
          <w:rFonts w:hint="eastAsia" w:ascii="宋体" w:hAnsi="宋体" w:cs="宋体"/>
          <w:b/>
          <w:sz w:val="21"/>
          <w:szCs w:val="21"/>
        </w:rPr>
        <w:t>七、廉政要求</w:t>
      </w:r>
    </w:p>
    <w:p>
      <w:pPr>
        <w:spacing w:line="360" w:lineRule="auto"/>
        <w:ind w:firstLine="480"/>
        <w:rPr>
          <w:rFonts w:ascii="宋体" w:hAnsi="宋体" w:cs="宋体"/>
          <w:sz w:val="21"/>
          <w:szCs w:val="21"/>
        </w:rPr>
      </w:pPr>
      <w:r>
        <w:rPr>
          <w:rFonts w:hint="eastAsia" w:ascii="宋体" w:hAnsi="宋体" w:cs="宋体"/>
          <w:sz w:val="21"/>
          <w:szCs w:val="21"/>
        </w:rPr>
        <w:t>投标人和采购人承诺共同加强廉洁自律、反对商业贿赂。</w:t>
      </w:r>
    </w:p>
    <w:p>
      <w:pPr>
        <w:numPr>
          <w:ilvl w:val="0"/>
          <w:numId w:val="22"/>
        </w:numPr>
        <w:tabs>
          <w:tab w:val="left" w:pos="420"/>
        </w:tabs>
        <w:adjustRightInd/>
        <w:spacing w:line="360" w:lineRule="auto"/>
        <w:jc w:val="both"/>
        <w:textAlignment w:val="auto"/>
        <w:rPr>
          <w:rFonts w:ascii="宋体" w:hAnsi="宋体" w:cs="宋体"/>
          <w:sz w:val="21"/>
          <w:szCs w:val="21"/>
        </w:rPr>
      </w:pPr>
      <w:r>
        <w:rPr>
          <w:rFonts w:hint="eastAsia" w:ascii="宋体" w:hAnsi="宋体" w:cs="宋体"/>
          <w:sz w:val="21"/>
          <w:szCs w:val="21"/>
        </w:rPr>
        <w:t>投标人不向采购人工作人员行贿或馈赠礼金、有价证券、贵重礼品；</w:t>
      </w:r>
    </w:p>
    <w:p>
      <w:pPr>
        <w:numPr>
          <w:ilvl w:val="0"/>
          <w:numId w:val="22"/>
        </w:numPr>
        <w:tabs>
          <w:tab w:val="left" w:pos="420"/>
        </w:tabs>
        <w:adjustRightInd/>
        <w:spacing w:line="360" w:lineRule="auto"/>
        <w:jc w:val="both"/>
        <w:textAlignment w:val="auto"/>
        <w:rPr>
          <w:rFonts w:ascii="宋体" w:hAnsi="宋体" w:cs="宋体"/>
          <w:sz w:val="21"/>
          <w:szCs w:val="21"/>
        </w:rPr>
      </w:pPr>
      <w:r>
        <w:rPr>
          <w:rFonts w:hint="eastAsia" w:ascii="宋体" w:hAnsi="宋体" w:cs="宋体"/>
          <w:sz w:val="21"/>
          <w:szCs w:val="21"/>
        </w:rPr>
        <w:t>投标人不报销应由采购人或工作人员支付的费用；</w:t>
      </w:r>
    </w:p>
    <w:p>
      <w:pPr>
        <w:numPr>
          <w:ilvl w:val="0"/>
          <w:numId w:val="22"/>
        </w:numPr>
        <w:adjustRightInd/>
        <w:spacing w:line="360" w:lineRule="auto"/>
        <w:jc w:val="both"/>
        <w:textAlignment w:val="auto"/>
        <w:rPr>
          <w:rFonts w:ascii="宋体" w:hAnsi="宋体" w:cs="宋体"/>
          <w:b/>
          <w:bCs/>
          <w:sz w:val="21"/>
          <w:szCs w:val="21"/>
          <w:lang w:val="zh-CN"/>
        </w:rPr>
      </w:pPr>
      <w:r>
        <w:rPr>
          <w:rFonts w:hint="eastAsia" w:ascii="宋体" w:hAnsi="宋体" w:cs="宋体"/>
          <w:sz w:val="21"/>
          <w:szCs w:val="21"/>
        </w:rPr>
        <w:t>投标人不向采购人工作人员支付劳务报酬；不安排采购人工作人员参加宴请及娱乐活动。</w:t>
      </w:r>
    </w:p>
    <w:p>
      <w:pPr>
        <w:rPr>
          <w:rFonts w:ascii="宋体" w:hAnsi="宋体"/>
          <w:b/>
          <w:sz w:val="21"/>
          <w:szCs w:val="21"/>
        </w:rPr>
      </w:pPr>
    </w:p>
    <w:p>
      <w:pPr>
        <w:jc w:val="center"/>
        <w:rPr>
          <w:rFonts w:ascii="宋体" w:hAnsi="宋体"/>
          <w:b/>
          <w:sz w:val="21"/>
          <w:szCs w:val="21"/>
        </w:rPr>
      </w:pPr>
    </w:p>
    <w:p>
      <w:pPr>
        <w:jc w:val="center"/>
        <w:rPr>
          <w:rFonts w:ascii="宋体" w:hAnsi="宋体"/>
          <w:b/>
          <w:sz w:val="21"/>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宋体" w:hAnsi="宋体"/>
          <w:b/>
          <w:sz w:val="21"/>
          <w:szCs w:val="21"/>
        </w:rPr>
      </w:pPr>
      <w:r>
        <w:rPr>
          <w:rFonts w:hint="eastAsia" w:ascii="宋体" w:hAnsi="宋体"/>
          <w:b/>
          <w:sz w:val="21"/>
          <w:szCs w:val="21"/>
        </w:rPr>
        <w:t>第二包  政务云租用</w:t>
      </w:r>
    </w:p>
    <w:p>
      <w:pPr>
        <w:spacing w:line="360" w:lineRule="auto"/>
        <w:jc w:val="center"/>
        <w:rPr>
          <w:rFonts w:ascii="宋体" w:hAnsi="宋体" w:cs="宋体"/>
          <w:b/>
          <w:sz w:val="21"/>
          <w:szCs w:val="21"/>
        </w:rPr>
      </w:pPr>
      <w:r>
        <w:rPr>
          <w:rFonts w:hint="eastAsia" w:ascii="宋体" w:hAnsi="宋体" w:cs="宋体"/>
          <w:b/>
          <w:sz w:val="21"/>
          <w:szCs w:val="21"/>
        </w:rPr>
        <w:t>采购</w:t>
      </w:r>
      <w:r>
        <w:rPr>
          <w:rFonts w:ascii="宋体" w:hAnsi="宋体" w:cs="宋体"/>
          <w:b/>
          <w:sz w:val="21"/>
          <w:szCs w:val="21"/>
        </w:rPr>
        <w:t>需求</w:t>
      </w:r>
    </w:p>
    <w:p>
      <w:pPr>
        <w:spacing w:line="360" w:lineRule="auto"/>
        <w:rPr>
          <w:rFonts w:ascii="宋体" w:hAnsi="宋体" w:cs="宋体"/>
          <w:b/>
          <w:sz w:val="21"/>
          <w:szCs w:val="21"/>
        </w:rPr>
      </w:pPr>
      <w:r>
        <w:rPr>
          <w:rFonts w:hint="eastAsia" w:ascii="宋体" w:hAnsi="宋体" w:cs="宋体"/>
          <w:b/>
          <w:sz w:val="21"/>
          <w:szCs w:val="21"/>
        </w:rPr>
        <w:t>一、概述</w:t>
      </w:r>
    </w:p>
    <w:p>
      <w:pPr>
        <w:spacing w:line="360" w:lineRule="auto"/>
        <w:ind w:firstLine="480"/>
        <w:rPr>
          <w:rFonts w:ascii="宋体" w:hAnsi="宋体" w:cs="宋体"/>
          <w:sz w:val="21"/>
          <w:szCs w:val="21"/>
        </w:rPr>
      </w:pPr>
      <w:r>
        <w:rPr>
          <w:rFonts w:hint="eastAsia" w:ascii="宋体" w:hAnsi="宋体" w:cs="宋体"/>
          <w:sz w:val="21"/>
          <w:szCs w:val="21"/>
        </w:rPr>
        <w:t>租用北京市政务云计算、存储、网络、安全等资源，支撑公共广播信号监测、北京新媒体集团播出信号监测业务开展。</w:t>
      </w:r>
    </w:p>
    <w:p>
      <w:pPr>
        <w:spacing w:line="360" w:lineRule="auto"/>
        <w:rPr>
          <w:rFonts w:ascii="宋体" w:hAnsi="宋体" w:cs="宋体"/>
          <w:b/>
          <w:sz w:val="21"/>
          <w:szCs w:val="21"/>
        </w:rPr>
      </w:pPr>
      <w:r>
        <w:rPr>
          <w:rFonts w:hint="eastAsia" w:ascii="宋体" w:hAnsi="宋体" w:cs="宋体"/>
          <w:b/>
          <w:sz w:val="21"/>
          <w:szCs w:val="21"/>
        </w:rPr>
        <w:t xml:space="preserve">    二、服务需求一览表</w:t>
      </w:r>
    </w:p>
    <w:tbl>
      <w:tblPr>
        <w:tblStyle w:val="18"/>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80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shd w:val="clear" w:color="000000" w:fill="C5D9F1"/>
            <w:vAlign w:val="center"/>
          </w:tcPr>
          <w:p>
            <w:pPr>
              <w:jc w:val="center"/>
              <w:rPr>
                <w:rFonts w:ascii="宋体" w:hAnsi="宋体" w:cs="宋体"/>
                <w:b/>
                <w:sz w:val="21"/>
                <w:szCs w:val="21"/>
              </w:rPr>
            </w:pPr>
            <w:r>
              <w:rPr>
                <w:rFonts w:hint="eastAsia" w:ascii="宋体" w:hAnsi="宋体" w:cs="宋体"/>
                <w:b/>
                <w:sz w:val="21"/>
                <w:szCs w:val="21"/>
              </w:rPr>
              <w:t>序号</w:t>
            </w:r>
          </w:p>
        </w:tc>
        <w:tc>
          <w:tcPr>
            <w:tcW w:w="6804" w:type="dxa"/>
            <w:shd w:val="clear" w:color="000000" w:fill="C5D9F1"/>
            <w:vAlign w:val="center"/>
          </w:tcPr>
          <w:p>
            <w:pPr>
              <w:jc w:val="center"/>
              <w:rPr>
                <w:rFonts w:ascii="宋体" w:hAnsi="宋体" w:cs="宋体"/>
                <w:b/>
                <w:sz w:val="21"/>
                <w:szCs w:val="21"/>
              </w:rPr>
            </w:pPr>
            <w:r>
              <w:rPr>
                <w:rFonts w:hint="eastAsia" w:ascii="宋体" w:hAnsi="宋体" w:cs="宋体"/>
                <w:b/>
                <w:sz w:val="21"/>
                <w:szCs w:val="21"/>
              </w:rPr>
              <w:t>云资源基础服务</w:t>
            </w:r>
          </w:p>
        </w:tc>
        <w:tc>
          <w:tcPr>
            <w:tcW w:w="992" w:type="dxa"/>
            <w:shd w:val="clear" w:color="000000" w:fill="C5D9F1"/>
            <w:vAlign w:val="center"/>
          </w:tcPr>
          <w:p>
            <w:pPr>
              <w:jc w:val="center"/>
              <w:rPr>
                <w:rFonts w:ascii="宋体" w:hAnsi="宋体" w:cs="宋体"/>
                <w:b/>
                <w:sz w:val="21"/>
                <w:szCs w:val="21"/>
              </w:rPr>
            </w:pPr>
            <w:r>
              <w:rPr>
                <w:rFonts w:hint="eastAsia" w:ascii="宋体" w:hAnsi="宋体" w:cs="宋体"/>
                <w:b/>
                <w:sz w:val="21"/>
                <w:szCs w:val="21"/>
              </w:rPr>
              <w:t>数量</w:t>
            </w:r>
          </w:p>
        </w:tc>
        <w:tc>
          <w:tcPr>
            <w:tcW w:w="992" w:type="dxa"/>
            <w:shd w:val="clear" w:color="000000" w:fill="C5D9F1"/>
          </w:tcPr>
          <w:p>
            <w:pPr>
              <w:jc w:val="center"/>
              <w:rPr>
                <w:rFonts w:ascii="宋体" w:hAnsi="宋体" w:cs="宋体"/>
                <w:b/>
                <w:sz w:val="21"/>
                <w:szCs w:val="21"/>
              </w:rPr>
            </w:pPr>
            <w:r>
              <w:rPr>
                <w:rFonts w:hint="eastAsia" w:ascii="宋体" w:hAnsi="宋体" w:cs="宋体"/>
                <w:b/>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1</w:t>
            </w:r>
          </w:p>
        </w:tc>
        <w:tc>
          <w:tcPr>
            <w:tcW w:w="6804" w:type="dxa"/>
            <w:vAlign w:val="center"/>
          </w:tcPr>
          <w:p>
            <w:pPr>
              <w:rPr>
                <w:rFonts w:ascii="宋体" w:hAnsi="宋体" w:cs="宋体"/>
                <w:sz w:val="21"/>
                <w:szCs w:val="21"/>
              </w:rPr>
            </w:pPr>
            <w:r>
              <w:rPr>
                <w:rFonts w:hint="eastAsia" w:ascii="宋体" w:hAnsi="宋体" w:cs="宋体"/>
                <w:sz w:val="21"/>
                <w:szCs w:val="21"/>
              </w:rPr>
              <w:t>X86云主机服务 vCPU</w:t>
            </w:r>
          </w:p>
        </w:tc>
        <w:tc>
          <w:tcPr>
            <w:tcW w:w="992" w:type="dxa"/>
            <w:vAlign w:val="center"/>
          </w:tcPr>
          <w:p>
            <w:pPr>
              <w:jc w:val="center"/>
              <w:rPr>
                <w:rFonts w:ascii="宋体" w:hAnsi="宋体" w:cs="宋体"/>
                <w:sz w:val="21"/>
                <w:szCs w:val="21"/>
              </w:rPr>
            </w:pPr>
            <w:r>
              <w:rPr>
                <w:rFonts w:hint="eastAsia" w:ascii="宋体" w:hAnsi="宋体" w:cs="宋体"/>
                <w:sz w:val="21"/>
                <w:szCs w:val="21"/>
              </w:rPr>
              <w:t>576</w:t>
            </w:r>
          </w:p>
        </w:tc>
        <w:tc>
          <w:tcPr>
            <w:tcW w:w="992" w:type="dxa"/>
            <w:vAlign w:val="center"/>
          </w:tcPr>
          <w:p>
            <w:pPr>
              <w:jc w:val="center"/>
              <w:rPr>
                <w:rFonts w:ascii="宋体" w:hAnsi="宋体" w:cs="宋体"/>
                <w:sz w:val="21"/>
                <w:szCs w:val="21"/>
              </w:rPr>
            </w:pPr>
            <w:r>
              <w:rPr>
                <w:rFonts w:hint="eastAsia" w:ascii="宋体" w:hAnsi="宋体" w:cs="宋体"/>
                <w:sz w:val="21"/>
                <w:szCs w:val="21"/>
              </w:rPr>
              <w:t>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2</w:t>
            </w:r>
          </w:p>
        </w:tc>
        <w:tc>
          <w:tcPr>
            <w:tcW w:w="6804" w:type="dxa"/>
            <w:vAlign w:val="center"/>
          </w:tcPr>
          <w:p>
            <w:pPr>
              <w:rPr>
                <w:rFonts w:ascii="宋体" w:hAnsi="宋体" w:cs="宋体"/>
                <w:sz w:val="21"/>
                <w:szCs w:val="21"/>
              </w:rPr>
            </w:pPr>
            <w:r>
              <w:rPr>
                <w:rFonts w:hint="eastAsia" w:ascii="宋体" w:hAnsi="宋体" w:cs="宋体"/>
                <w:sz w:val="21"/>
                <w:szCs w:val="21"/>
              </w:rPr>
              <w:t>X86云主机服务 内存</w:t>
            </w:r>
          </w:p>
        </w:tc>
        <w:tc>
          <w:tcPr>
            <w:tcW w:w="992" w:type="dxa"/>
            <w:vAlign w:val="center"/>
          </w:tcPr>
          <w:p>
            <w:pPr>
              <w:jc w:val="center"/>
              <w:rPr>
                <w:rFonts w:ascii="宋体" w:hAnsi="宋体" w:cs="宋体"/>
                <w:sz w:val="21"/>
                <w:szCs w:val="21"/>
              </w:rPr>
            </w:pPr>
            <w:r>
              <w:rPr>
                <w:rFonts w:hint="eastAsia" w:ascii="宋体" w:hAnsi="宋体" w:cs="宋体"/>
                <w:sz w:val="21"/>
                <w:szCs w:val="21"/>
              </w:rPr>
              <w:t>1336</w:t>
            </w:r>
          </w:p>
        </w:tc>
        <w:tc>
          <w:tcPr>
            <w:tcW w:w="992" w:type="dxa"/>
            <w:vAlign w:val="center"/>
          </w:tcPr>
          <w:p>
            <w:pPr>
              <w:jc w:val="center"/>
              <w:rPr>
                <w:rFonts w:ascii="宋体" w:hAnsi="宋体" w:cs="宋体"/>
                <w:sz w:val="21"/>
                <w:szCs w:val="21"/>
              </w:rPr>
            </w:pPr>
            <w:r>
              <w:rPr>
                <w:rFonts w:hint="eastAsia" w:ascii="宋体" w:hAnsi="宋体" w:cs="宋体"/>
                <w:sz w:val="21"/>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3</w:t>
            </w:r>
          </w:p>
        </w:tc>
        <w:tc>
          <w:tcPr>
            <w:tcW w:w="6804" w:type="dxa"/>
            <w:vAlign w:val="center"/>
          </w:tcPr>
          <w:p>
            <w:pPr>
              <w:rPr>
                <w:rFonts w:ascii="宋体" w:hAnsi="宋体" w:cs="宋体"/>
                <w:sz w:val="21"/>
                <w:szCs w:val="21"/>
              </w:rPr>
            </w:pPr>
            <w:r>
              <w:rPr>
                <w:rFonts w:hint="eastAsia" w:ascii="宋体" w:hAnsi="宋体" w:cs="宋体"/>
                <w:sz w:val="21"/>
                <w:szCs w:val="21"/>
              </w:rPr>
              <w:t>X86物理服务器租用服务</w:t>
            </w:r>
          </w:p>
        </w:tc>
        <w:tc>
          <w:tcPr>
            <w:tcW w:w="992" w:type="dxa"/>
            <w:vAlign w:val="center"/>
          </w:tcPr>
          <w:p>
            <w:pPr>
              <w:jc w:val="center"/>
              <w:rPr>
                <w:rFonts w:ascii="宋体" w:hAnsi="宋体" w:cs="宋体"/>
                <w:sz w:val="21"/>
                <w:szCs w:val="21"/>
              </w:rPr>
            </w:pPr>
            <w:r>
              <w:rPr>
                <w:rFonts w:hint="eastAsia" w:ascii="宋体" w:hAnsi="宋体" w:cs="宋体"/>
                <w:sz w:val="21"/>
                <w:szCs w:val="21"/>
              </w:rPr>
              <w:t>2</w:t>
            </w:r>
          </w:p>
        </w:tc>
        <w:tc>
          <w:tcPr>
            <w:tcW w:w="992" w:type="dxa"/>
            <w:vAlign w:val="center"/>
          </w:tcPr>
          <w:p>
            <w:pPr>
              <w:jc w:val="center"/>
              <w:rPr>
                <w:rFonts w:ascii="宋体" w:hAnsi="宋体" w:cs="宋体"/>
                <w:sz w:val="21"/>
                <w:szCs w:val="21"/>
              </w:rPr>
            </w:pPr>
            <w:r>
              <w:rPr>
                <w:rFonts w:hint="eastAsia" w:ascii="宋体" w:hAnsi="宋体" w:cs="宋体"/>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4</w:t>
            </w:r>
          </w:p>
        </w:tc>
        <w:tc>
          <w:tcPr>
            <w:tcW w:w="6804" w:type="dxa"/>
            <w:vAlign w:val="center"/>
          </w:tcPr>
          <w:p>
            <w:pPr>
              <w:rPr>
                <w:rFonts w:ascii="宋体" w:hAnsi="宋体" w:cs="宋体"/>
                <w:sz w:val="21"/>
                <w:szCs w:val="21"/>
              </w:rPr>
            </w:pPr>
            <w:r>
              <w:rPr>
                <w:rFonts w:hint="eastAsia" w:ascii="宋体" w:hAnsi="宋体" w:cs="宋体"/>
                <w:sz w:val="21"/>
                <w:szCs w:val="21"/>
              </w:rPr>
              <w:t>存储服务-普通</w:t>
            </w:r>
          </w:p>
        </w:tc>
        <w:tc>
          <w:tcPr>
            <w:tcW w:w="992" w:type="dxa"/>
            <w:vAlign w:val="center"/>
          </w:tcPr>
          <w:p>
            <w:pPr>
              <w:jc w:val="center"/>
              <w:rPr>
                <w:rFonts w:ascii="宋体" w:hAnsi="宋体" w:cs="宋体"/>
                <w:sz w:val="21"/>
                <w:szCs w:val="21"/>
              </w:rPr>
            </w:pPr>
            <w:r>
              <w:rPr>
                <w:rFonts w:hint="eastAsia" w:ascii="宋体" w:hAnsi="宋体" w:cs="宋体"/>
                <w:sz w:val="21"/>
                <w:szCs w:val="21"/>
              </w:rPr>
              <w:t>91400</w:t>
            </w:r>
          </w:p>
        </w:tc>
        <w:tc>
          <w:tcPr>
            <w:tcW w:w="992" w:type="dxa"/>
            <w:vAlign w:val="center"/>
          </w:tcPr>
          <w:p>
            <w:pPr>
              <w:jc w:val="center"/>
              <w:rPr>
                <w:rFonts w:ascii="宋体" w:hAnsi="宋体" w:cs="宋体"/>
                <w:sz w:val="21"/>
                <w:szCs w:val="21"/>
              </w:rPr>
            </w:pPr>
            <w:r>
              <w:rPr>
                <w:rFonts w:hint="eastAsia" w:ascii="宋体" w:hAnsi="宋体" w:cs="宋体"/>
                <w:sz w:val="21"/>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5</w:t>
            </w:r>
          </w:p>
        </w:tc>
        <w:tc>
          <w:tcPr>
            <w:tcW w:w="6804" w:type="dxa"/>
            <w:vAlign w:val="center"/>
          </w:tcPr>
          <w:p>
            <w:pPr>
              <w:rPr>
                <w:rFonts w:ascii="宋体" w:hAnsi="宋体" w:cs="宋体"/>
                <w:sz w:val="21"/>
                <w:szCs w:val="21"/>
              </w:rPr>
            </w:pPr>
            <w:r>
              <w:rPr>
                <w:rFonts w:hint="eastAsia" w:ascii="宋体" w:hAnsi="宋体" w:cs="宋体"/>
                <w:sz w:val="21"/>
                <w:szCs w:val="21"/>
              </w:rPr>
              <w:t>存储服务-高性能</w:t>
            </w:r>
          </w:p>
        </w:tc>
        <w:tc>
          <w:tcPr>
            <w:tcW w:w="992" w:type="dxa"/>
            <w:vAlign w:val="center"/>
          </w:tcPr>
          <w:p>
            <w:pPr>
              <w:jc w:val="center"/>
              <w:rPr>
                <w:rFonts w:ascii="宋体" w:hAnsi="宋体" w:cs="宋体"/>
                <w:sz w:val="21"/>
                <w:szCs w:val="21"/>
              </w:rPr>
            </w:pPr>
            <w:r>
              <w:rPr>
                <w:rFonts w:hint="eastAsia" w:ascii="宋体" w:hAnsi="宋体" w:cs="宋体"/>
                <w:sz w:val="21"/>
                <w:szCs w:val="21"/>
              </w:rPr>
              <w:t>6000</w:t>
            </w:r>
          </w:p>
        </w:tc>
        <w:tc>
          <w:tcPr>
            <w:tcW w:w="992" w:type="dxa"/>
            <w:vAlign w:val="center"/>
          </w:tcPr>
          <w:p>
            <w:pPr>
              <w:jc w:val="center"/>
              <w:rPr>
                <w:rFonts w:ascii="宋体" w:hAnsi="宋体" w:cs="宋体"/>
                <w:sz w:val="21"/>
                <w:szCs w:val="21"/>
              </w:rPr>
            </w:pPr>
            <w:r>
              <w:rPr>
                <w:rFonts w:hint="eastAsia" w:ascii="宋体" w:hAnsi="宋体" w:cs="宋体"/>
                <w:sz w:val="21"/>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6</w:t>
            </w:r>
          </w:p>
        </w:tc>
        <w:tc>
          <w:tcPr>
            <w:tcW w:w="6804" w:type="dxa"/>
            <w:vAlign w:val="center"/>
          </w:tcPr>
          <w:p>
            <w:pPr>
              <w:rPr>
                <w:rFonts w:ascii="宋体" w:hAnsi="宋体" w:cs="宋体"/>
                <w:sz w:val="21"/>
                <w:szCs w:val="21"/>
              </w:rPr>
            </w:pPr>
            <w:r>
              <w:rPr>
                <w:rFonts w:hint="eastAsia" w:ascii="宋体" w:hAnsi="宋体" w:cs="宋体"/>
                <w:sz w:val="21"/>
                <w:szCs w:val="21"/>
              </w:rPr>
              <w:t>静态存储</w:t>
            </w:r>
          </w:p>
        </w:tc>
        <w:tc>
          <w:tcPr>
            <w:tcW w:w="992" w:type="dxa"/>
            <w:vAlign w:val="center"/>
          </w:tcPr>
          <w:p>
            <w:pPr>
              <w:jc w:val="center"/>
              <w:rPr>
                <w:rFonts w:ascii="宋体" w:hAnsi="宋体" w:cs="宋体"/>
                <w:sz w:val="21"/>
                <w:szCs w:val="21"/>
              </w:rPr>
            </w:pPr>
            <w:r>
              <w:rPr>
                <w:rFonts w:hint="eastAsia" w:ascii="宋体" w:hAnsi="宋体" w:cs="宋体"/>
                <w:sz w:val="21"/>
                <w:szCs w:val="21"/>
              </w:rPr>
              <w:t>6000</w:t>
            </w:r>
          </w:p>
        </w:tc>
        <w:tc>
          <w:tcPr>
            <w:tcW w:w="992" w:type="dxa"/>
            <w:vAlign w:val="center"/>
          </w:tcPr>
          <w:p>
            <w:pPr>
              <w:jc w:val="center"/>
              <w:rPr>
                <w:rFonts w:ascii="宋体" w:hAnsi="宋体" w:cs="宋体"/>
                <w:sz w:val="21"/>
                <w:szCs w:val="21"/>
              </w:rPr>
            </w:pPr>
            <w:r>
              <w:rPr>
                <w:rFonts w:hint="eastAsia" w:ascii="宋体" w:hAnsi="宋体" w:cs="宋体"/>
                <w:sz w:val="21"/>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7</w:t>
            </w:r>
          </w:p>
        </w:tc>
        <w:tc>
          <w:tcPr>
            <w:tcW w:w="6804" w:type="dxa"/>
            <w:vAlign w:val="center"/>
          </w:tcPr>
          <w:p>
            <w:pPr>
              <w:rPr>
                <w:rFonts w:ascii="宋体" w:hAnsi="宋体" w:cs="宋体"/>
                <w:sz w:val="21"/>
                <w:szCs w:val="21"/>
              </w:rPr>
            </w:pPr>
            <w:r>
              <w:rPr>
                <w:rFonts w:hint="eastAsia" w:ascii="宋体" w:hAnsi="宋体" w:cs="宋体"/>
                <w:sz w:val="21"/>
                <w:szCs w:val="21"/>
              </w:rPr>
              <w:t>本地备份服务</w:t>
            </w:r>
          </w:p>
        </w:tc>
        <w:tc>
          <w:tcPr>
            <w:tcW w:w="992" w:type="dxa"/>
            <w:vAlign w:val="center"/>
          </w:tcPr>
          <w:p>
            <w:pPr>
              <w:jc w:val="center"/>
              <w:rPr>
                <w:rFonts w:ascii="宋体" w:hAnsi="宋体" w:cs="宋体"/>
                <w:sz w:val="21"/>
                <w:szCs w:val="21"/>
              </w:rPr>
            </w:pPr>
            <w:r>
              <w:rPr>
                <w:rFonts w:hint="eastAsia" w:ascii="宋体" w:hAnsi="宋体" w:cs="宋体"/>
                <w:sz w:val="21"/>
                <w:szCs w:val="21"/>
              </w:rPr>
              <w:t>6000</w:t>
            </w:r>
          </w:p>
        </w:tc>
        <w:tc>
          <w:tcPr>
            <w:tcW w:w="992" w:type="dxa"/>
            <w:vAlign w:val="center"/>
          </w:tcPr>
          <w:p>
            <w:pPr>
              <w:jc w:val="center"/>
              <w:rPr>
                <w:rFonts w:ascii="宋体" w:hAnsi="宋体" w:cs="宋体"/>
                <w:sz w:val="21"/>
                <w:szCs w:val="21"/>
              </w:rPr>
            </w:pPr>
            <w:r>
              <w:rPr>
                <w:rFonts w:hint="eastAsia" w:ascii="宋体" w:hAnsi="宋体" w:cs="宋体"/>
                <w:sz w:val="21"/>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8</w:t>
            </w:r>
          </w:p>
        </w:tc>
        <w:tc>
          <w:tcPr>
            <w:tcW w:w="6804" w:type="dxa"/>
            <w:vAlign w:val="center"/>
          </w:tcPr>
          <w:p>
            <w:pPr>
              <w:rPr>
                <w:rFonts w:ascii="宋体" w:hAnsi="宋体" w:cs="宋体"/>
                <w:sz w:val="21"/>
                <w:szCs w:val="21"/>
              </w:rPr>
            </w:pPr>
            <w:r>
              <w:rPr>
                <w:rFonts w:hint="eastAsia" w:ascii="宋体" w:hAnsi="宋体" w:cs="宋体"/>
                <w:sz w:val="21"/>
                <w:szCs w:val="21"/>
              </w:rPr>
              <w:t>互联网链路带宽</w:t>
            </w:r>
          </w:p>
        </w:tc>
        <w:tc>
          <w:tcPr>
            <w:tcW w:w="992" w:type="dxa"/>
            <w:vAlign w:val="center"/>
          </w:tcPr>
          <w:p>
            <w:pPr>
              <w:jc w:val="center"/>
              <w:rPr>
                <w:rFonts w:ascii="宋体" w:hAnsi="宋体" w:cs="宋体"/>
                <w:sz w:val="21"/>
                <w:szCs w:val="21"/>
              </w:rPr>
            </w:pPr>
            <w:r>
              <w:rPr>
                <w:rFonts w:hint="eastAsia" w:ascii="宋体" w:hAnsi="宋体" w:cs="宋体"/>
                <w:sz w:val="21"/>
                <w:szCs w:val="21"/>
              </w:rPr>
              <w:t>50</w:t>
            </w:r>
          </w:p>
        </w:tc>
        <w:tc>
          <w:tcPr>
            <w:tcW w:w="992" w:type="dxa"/>
            <w:vAlign w:val="center"/>
          </w:tcPr>
          <w:p>
            <w:pPr>
              <w:jc w:val="center"/>
              <w:rPr>
                <w:rFonts w:ascii="宋体" w:hAnsi="宋体" w:cs="宋体"/>
                <w:bCs/>
                <w:sz w:val="21"/>
                <w:szCs w:val="21"/>
              </w:rPr>
            </w:pPr>
            <w:r>
              <w:rPr>
                <w:rFonts w:hint="eastAsia" w:ascii="宋体" w:hAnsi="宋体" w:cs="宋体"/>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9</w:t>
            </w:r>
          </w:p>
        </w:tc>
        <w:tc>
          <w:tcPr>
            <w:tcW w:w="6804" w:type="dxa"/>
            <w:vAlign w:val="center"/>
          </w:tcPr>
          <w:p>
            <w:pPr>
              <w:rPr>
                <w:rFonts w:ascii="宋体" w:hAnsi="宋体" w:cs="宋体"/>
                <w:sz w:val="21"/>
                <w:szCs w:val="21"/>
              </w:rPr>
            </w:pPr>
            <w:r>
              <w:rPr>
                <w:rFonts w:hint="eastAsia" w:ascii="宋体" w:hAnsi="宋体" w:cs="宋体"/>
                <w:sz w:val="21"/>
                <w:szCs w:val="21"/>
              </w:rPr>
              <w:t>互联网IP地址服务</w:t>
            </w:r>
          </w:p>
        </w:tc>
        <w:tc>
          <w:tcPr>
            <w:tcW w:w="992" w:type="dxa"/>
            <w:vAlign w:val="center"/>
          </w:tcPr>
          <w:p>
            <w:pPr>
              <w:jc w:val="center"/>
              <w:rPr>
                <w:rFonts w:ascii="宋体" w:hAnsi="宋体" w:cs="宋体"/>
                <w:sz w:val="21"/>
                <w:szCs w:val="21"/>
              </w:rPr>
            </w:pPr>
            <w:r>
              <w:rPr>
                <w:rFonts w:hint="eastAsia" w:ascii="宋体" w:hAnsi="宋体" w:cs="宋体"/>
                <w:sz w:val="21"/>
                <w:szCs w:val="21"/>
              </w:rPr>
              <w:t>1</w:t>
            </w:r>
          </w:p>
        </w:tc>
        <w:tc>
          <w:tcPr>
            <w:tcW w:w="992" w:type="dxa"/>
            <w:vAlign w:val="center"/>
          </w:tcPr>
          <w:p>
            <w:pPr>
              <w:jc w:val="center"/>
              <w:rPr>
                <w:rFonts w:ascii="宋体" w:hAnsi="宋体" w:cs="宋体"/>
                <w:bCs/>
                <w:sz w:val="21"/>
                <w:szCs w:val="21"/>
              </w:rPr>
            </w:pPr>
            <w:r>
              <w:rPr>
                <w:rFonts w:hint="eastAsia" w:ascii="宋体" w:hAnsi="宋体" w:cs="宋体"/>
                <w:sz w:val="21"/>
                <w:szCs w:val="21"/>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10</w:t>
            </w:r>
          </w:p>
        </w:tc>
        <w:tc>
          <w:tcPr>
            <w:tcW w:w="6804" w:type="dxa"/>
            <w:vAlign w:val="center"/>
          </w:tcPr>
          <w:p>
            <w:pPr>
              <w:rPr>
                <w:rFonts w:ascii="宋体" w:hAnsi="宋体" w:cs="宋体"/>
                <w:sz w:val="21"/>
                <w:szCs w:val="21"/>
              </w:rPr>
            </w:pPr>
            <w:r>
              <w:rPr>
                <w:rFonts w:hint="eastAsia" w:ascii="宋体" w:hAnsi="宋体" w:cs="宋体"/>
                <w:sz w:val="21"/>
                <w:szCs w:val="21"/>
              </w:rPr>
              <w:t>负载均衡</w:t>
            </w:r>
          </w:p>
        </w:tc>
        <w:tc>
          <w:tcPr>
            <w:tcW w:w="992" w:type="dxa"/>
            <w:vAlign w:val="center"/>
          </w:tcPr>
          <w:p>
            <w:pPr>
              <w:jc w:val="center"/>
              <w:rPr>
                <w:rFonts w:ascii="宋体" w:hAnsi="宋体" w:cs="宋体"/>
                <w:sz w:val="21"/>
                <w:szCs w:val="21"/>
              </w:rPr>
            </w:pPr>
            <w:r>
              <w:rPr>
                <w:rFonts w:hint="eastAsia" w:ascii="宋体" w:hAnsi="宋体" w:cs="宋体"/>
                <w:sz w:val="21"/>
                <w:szCs w:val="21"/>
              </w:rPr>
              <w:t>2</w:t>
            </w:r>
          </w:p>
        </w:tc>
        <w:tc>
          <w:tcPr>
            <w:tcW w:w="992" w:type="dxa"/>
            <w:vAlign w:val="center"/>
          </w:tcPr>
          <w:p>
            <w:pPr>
              <w:jc w:val="center"/>
              <w:rPr>
                <w:rFonts w:ascii="宋体" w:hAnsi="宋体" w:cs="宋体"/>
                <w:bCs/>
                <w:sz w:val="21"/>
                <w:szCs w:val="21"/>
              </w:rPr>
            </w:pPr>
            <w:r>
              <w:rPr>
                <w:rFonts w:hint="eastAsia" w:ascii="宋体" w:hAnsi="宋体" w:cs="宋体"/>
                <w:sz w:val="21"/>
                <w:szCs w:val="21"/>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11</w:t>
            </w:r>
          </w:p>
        </w:tc>
        <w:tc>
          <w:tcPr>
            <w:tcW w:w="6804" w:type="dxa"/>
            <w:vAlign w:val="center"/>
          </w:tcPr>
          <w:p>
            <w:pPr>
              <w:rPr>
                <w:rFonts w:ascii="宋体" w:hAnsi="宋体" w:cs="宋体"/>
                <w:sz w:val="21"/>
                <w:szCs w:val="21"/>
              </w:rPr>
            </w:pPr>
            <w:r>
              <w:rPr>
                <w:rFonts w:hint="eastAsia" w:ascii="宋体" w:hAnsi="宋体" w:cs="宋体"/>
                <w:sz w:val="21"/>
                <w:szCs w:val="21"/>
              </w:rPr>
              <w:t>远程接入服务</w:t>
            </w:r>
          </w:p>
        </w:tc>
        <w:tc>
          <w:tcPr>
            <w:tcW w:w="992" w:type="dxa"/>
            <w:vAlign w:val="center"/>
          </w:tcPr>
          <w:p>
            <w:pPr>
              <w:jc w:val="center"/>
              <w:rPr>
                <w:rFonts w:ascii="宋体" w:hAnsi="宋体" w:cs="宋体"/>
                <w:sz w:val="21"/>
                <w:szCs w:val="21"/>
              </w:rPr>
            </w:pPr>
            <w:r>
              <w:rPr>
                <w:rFonts w:hint="eastAsia" w:ascii="宋体" w:hAnsi="宋体" w:cs="宋体"/>
                <w:sz w:val="21"/>
                <w:szCs w:val="21"/>
              </w:rPr>
              <w:t>1</w:t>
            </w:r>
          </w:p>
        </w:tc>
        <w:tc>
          <w:tcPr>
            <w:tcW w:w="992" w:type="dxa"/>
            <w:vAlign w:val="center"/>
          </w:tcPr>
          <w:p>
            <w:pPr>
              <w:jc w:val="center"/>
              <w:rPr>
                <w:rFonts w:ascii="宋体" w:hAnsi="宋体" w:cs="宋体"/>
                <w:bCs/>
                <w:sz w:val="21"/>
                <w:szCs w:val="21"/>
              </w:rPr>
            </w:pPr>
            <w:r>
              <w:rPr>
                <w:rFonts w:hint="eastAsia" w:ascii="宋体" w:hAnsi="宋体" w:cs="宋体"/>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12</w:t>
            </w:r>
          </w:p>
        </w:tc>
        <w:tc>
          <w:tcPr>
            <w:tcW w:w="6804" w:type="dxa"/>
            <w:vAlign w:val="center"/>
          </w:tcPr>
          <w:p>
            <w:pPr>
              <w:rPr>
                <w:rFonts w:ascii="宋体" w:hAnsi="宋体" w:cs="宋体"/>
                <w:sz w:val="21"/>
                <w:szCs w:val="21"/>
              </w:rPr>
            </w:pPr>
            <w:r>
              <w:rPr>
                <w:rFonts w:hint="eastAsia" w:ascii="宋体" w:hAnsi="宋体" w:cs="宋体"/>
                <w:sz w:val="21"/>
                <w:szCs w:val="21"/>
              </w:rPr>
              <w:t>SSL证书</w:t>
            </w:r>
          </w:p>
        </w:tc>
        <w:tc>
          <w:tcPr>
            <w:tcW w:w="992" w:type="dxa"/>
            <w:vAlign w:val="center"/>
          </w:tcPr>
          <w:p>
            <w:pPr>
              <w:jc w:val="center"/>
              <w:rPr>
                <w:rFonts w:ascii="宋体" w:hAnsi="宋体" w:cs="宋体"/>
                <w:sz w:val="21"/>
                <w:szCs w:val="21"/>
              </w:rPr>
            </w:pPr>
            <w:r>
              <w:rPr>
                <w:rFonts w:hint="eastAsia" w:ascii="宋体" w:hAnsi="宋体" w:cs="宋体"/>
                <w:sz w:val="21"/>
                <w:szCs w:val="21"/>
              </w:rPr>
              <w:t>2</w:t>
            </w:r>
          </w:p>
        </w:tc>
        <w:tc>
          <w:tcPr>
            <w:tcW w:w="992" w:type="dxa"/>
            <w:vAlign w:val="center"/>
          </w:tcPr>
          <w:p>
            <w:pPr>
              <w:jc w:val="center"/>
              <w:rPr>
                <w:rFonts w:ascii="宋体" w:hAnsi="宋体" w:cs="宋体"/>
                <w:bCs/>
                <w:sz w:val="21"/>
                <w:szCs w:val="21"/>
              </w:rPr>
            </w:pPr>
            <w:r>
              <w:rPr>
                <w:rFonts w:hint="eastAsia" w:ascii="宋体" w:hAnsi="宋体" w:cs="宋体"/>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13</w:t>
            </w:r>
          </w:p>
        </w:tc>
        <w:tc>
          <w:tcPr>
            <w:tcW w:w="6804" w:type="dxa"/>
            <w:vAlign w:val="center"/>
          </w:tcPr>
          <w:p>
            <w:pPr>
              <w:rPr>
                <w:rFonts w:ascii="宋体" w:hAnsi="宋体" w:cs="宋体"/>
                <w:sz w:val="21"/>
                <w:szCs w:val="21"/>
              </w:rPr>
            </w:pPr>
            <w:r>
              <w:rPr>
                <w:rFonts w:hint="eastAsia" w:ascii="宋体" w:hAnsi="宋体" w:cs="宋体"/>
                <w:sz w:val="21"/>
                <w:szCs w:val="21"/>
              </w:rPr>
              <w:t>WAF防护</w:t>
            </w:r>
          </w:p>
        </w:tc>
        <w:tc>
          <w:tcPr>
            <w:tcW w:w="992" w:type="dxa"/>
            <w:vAlign w:val="center"/>
          </w:tcPr>
          <w:p>
            <w:pPr>
              <w:jc w:val="center"/>
              <w:rPr>
                <w:rFonts w:ascii="宋体" w:hAnsi="宋体" w:cs="宋体"/>
                <w:sz w:val="21"/>
                <w:szCs w:val="21"/>
              </w:rPr>
            </w:pPr>
            <w:r>
              <w:rPr>
                <w:rFonts w:hint="eastAsia" w:ascii="宋体" w:hAnsi="宋体" w:cs="宋体"/>
                <w:sz w:val="21"/>
                <w:szCs w:val="21"/>
              </w:rPr>
              <w:t>1</w:t>
            </w:r>
          </w:p>
        </w:tc>
        <w:tc>
          <w:tcPr>
            <w:tcW w:w="992" w:type="dxa"/>
            <w:vAlign w:val="center"/>
          </w:tcPr>
          <w:p>
            <w:pPr>
              <w:jc w:val="center"/>
              <w:rPr>
                <w:rFonts w:ascii="宋体" w:hAnsi="宋体" w:cs="宋体"/>
                <w:bCs/>
                <w:sz w:val="21"/>
                <w:szCs w:val="21"/>
              </w:rPr>
            </w:pPr>
            <w:r>
              <w:rPr>
                <w:rFonts w:hint="eastAsia" w:ascii="宋体" w:hAnsi="宋体" w:cs="宋体"/>
                <w:sz w:val="21"/>
                <w:szCs w:val="21"/>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14</w:t>
            </w:r>
          </w:p>
        </w:tc>
        <w:tc>
          <w:tcPr>
            <w:tcW w:w="6804" w:type="dxa"/>
            <w:vAlign w:val="center"/>
          </w:tcPr>
          <w:p>
            <w:pPr>
              <w:rPr>
                <w:rFonts w:ascii="宋体" w:hAnsi="宋体" w:cs="宋体"/>
                <w:sz w:val="21"/>
                <w:szCs w:val="21"/>
              </w:rPr>
            </w:pPr>
            <w:r>
              <w:rPr>
                <w:rFonts w:hint="eastAsia" w:ascii="宋体" w:hAnsi="宋体" w:cs="宋体"/>
                <w:sz w:val="21"/>
                <w:szCs w:val="21"/>
              </w:rPr>
              <w:t>云主机深度监控服务</w:t>
            </w:r>
          </w:p>
        </w:tc>
        <w:tc>
          <w:tcPr>
            <w:tcW w:w="992" w:type="dxa"/>
            <w:vAlign w:val="center"/>
          </w:tcPr>
          <w:p>
            <w:pPr>
              <w:jc w:val="center"/>
              <w:rPr>
                <w:rFonts w:ascii="宋体" w:hAnsi="宋体" w:cs="宋体"/>
                <w:sz w:val="21"/>
                <w:szCs w:val="21"/>
              </w:rPr>
            </w:pPr>
            <w:r>
              <w:rPr>
                <w:rFonts w:hint="eastAsia" w:ascii="宋体" w:hAnsi="宋体" w:cs="宋体"/>
                <w:sz w:val="21"/>
                <w:szCs w:val="21"/>
              </w:rPr>
              <w:t>62</w:t>
            </w:r>
          </w:p>
        </w:tc>
        <w:tc>
          <w:tcPr>
            <w:tcW w:w="992" w:type="dxa"/>
            <w:vAlign w:val="center"/>
          </w:tcPr>
          <w:p>
            <w:pPr>
              <w:jc w:val="center"/>
              <w:rPr>
                <w:rFonts w:ascii="宋体" w:hAnsi="宋体" w:cs="宋体"/>
                <w:bCs/>
                <w:sz w:val="21"/>
                <w:szCs w:val="21"/>
              </w:rPr>
            </w:pPr>
            <w:r>
              <w:rPr>
                <w:rFonts w:hint="eastAsia" w:ascii="宋体" w:hAnsi="宋体" w:cs="宋体"/>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shd w:val="clear" w:color="000000" w:fill="C5D9F1"/>
            <w:vAlign w:val="center"/>
          </w:tcPr>
          <w:p>
            <w:pPr>
              <w:jc w:val="center"/>
              <w:rPr>
                <w:rFonts w:ascii="宋体" w:hAnsi="宋体" w:cs="宋体"/>
                <w:b/>
                <w:sz w:val="21"/>
                <w:szCs w:val="21"/>
              </w:rPr>
            </w:pPr>
            <w:r>
              <w:rPr>
                <w:rFonts w:hint="eastAsia" w:ascii="宋体" w:hAnsi="宋体" w:cs="宋体"/>
                <w:b/>
                <w:sz w:val="21"/>
                <w:szCs w:val="21"/>
              </w:rPr>
              <w:t>序号</w:t>
            </w:r>
          </w:p>
        </w:tc>
        <w:tc>
          <w:tcPr>
            <w:tcW w:w="6804" w:type="dxa"/>
            <w:shd w:val="clear" w:color="000000" w:fill="C5D9F1"/>
            <w:vAlign w:val="center"/>
          </w:tcPr>
          <w:p>
            <w:pPr>
              <w:jc w:val="center"/>
              <w:rPr>
                <w:rFonts w:ascii="宋体" w:hAnsi="宋体" w:cs="宋体"/>
                <w:b/>
                <w:sz w:val="21"/>
                <w:szCs w:val="21"/>
              </w:rPr>
            </w:pPr>
            <w:r>
              <w:rPr>
                <w:rFonts w:hint="eastAsia" w:ascii="宋体" w:hAnsi="宋体" w:cs="宋体"/>
                <w:b/>
                <w:sz w:val="21"/>
                <w:szCs w:val="21"/>
              </w:rPr>
              <w:t>云资源扩展服务</w:t>
            </w:r>
          </w:p>
        </w:tc>
        <w:tc>
          <w:tcPr>
            <w:tcW w:w="992" w:type="dxa"/>
            <w:shd w:val="clear" w:color="000000" w:fill="C5D9F1"/>
            <w:vAlign w:val="center"/>
          </w:tcPr>
          <w:p>
            <w:pPr>
              <w:jc w:val="center"/>
              <w:rPr>
                <w:rFonts w:ascii="宋体" w:hAnsi="宋体" w:cs="宋体"/>
                <w:b/>
                <w:sz w:val="21"/>
                <w:szCs w:val="21"/>
              </w:rPr>
            </w:pPr>
            <w:r>
              <w:rPr>
                <w:rFonts w:hint="eastAsia" w:ascii="宋体" w:hAnsi="宋体" w:cs="宋体"/>
                <w:b/>
                <w:sz w:val="21"/>
                <w:szCs w:val="21"/>
              </w:rPr>
              <w:t>数量</w:t>
            </w:r>
          </w:p>
        </w:tc>
        <w:tc>
          <w:tcPr>
            <w:tcW w:w="992" w:type="dxa"/>
            <w:shd w:val="clear" w:color="000000" w:fill="C5D9F1"/>
          </w:tcPr>
          <w:p>
            <w:pPr>
              <w:jc w:val="center"/>
              <w:rPr>
                <w:rFonts w:ascii="宋体" w:hAnsi="宋体" w:cs="宋体"/>
                <w:b/>
                <w:sz w:val="21"/>
                <w:szCs w:val="21"/>
              </w:rPr>
            </w:pPr>
            <w:r>
              <w:rPr>
                <w:rFonts w:hint="eastAsia" w:ascii="宋体" w:hAnsi="宋体" w:cs="宋体"/>
                <w:b/>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1</w:t>
            </w:r>
          </w:p>
        </w:tc>
        <w:tc>
          <w:tcPr>
            <w:tcW w:w="6804" w:type="dxa"/>
            <w:vAlign w:val="center"/>
          </w:tcPr>
          <w:p>
            <w:pPr>
              <w:rPr>
                <w:rFonts w:ascii="宋体" w:hAnsi="宋体" w:cs="宋体"/>
                <w:sz w:val="21"/>
                <w:szCs w:val="21"/>
              </w:rPr>
            </w:pPr>
            <w:r>
              <w:rPr>
                <w:rFonts w:hint="eastAsia" w:ascii="宋体" w:hAnsi="宋体" w:cs="宋体"/>
                <w:color w:val="000000"/>
                <w:sz w:val="21"/>
                <w:szCs w:val="21"/>
              </w:rPr>
              <w:t>开源操作系统套餐</w:t>
            </w:r>
          </w:p>
        </w:tc>
        <w:tc>
          <w:tcPr>
            <w:tcW w:w="992" w:type="dxa"/>
            <w:vAlign w:val="center"/>
          </w:tcPr>
          <w:p>
            <w:pPr>
              <w:jc w:val="center"/>
              <w:rPr>
                <w:rFonts w:ascii="宋体" w:hAnsi="宋体" w:cs="宋体"/>
                <w:sz w:val="21"/>
                <w:szCs w:val="21"/>
              </w:rPr>
            </w:pPr>
            <w:r>
              <w:rPr>
                <w:rFonts w:hint="eastAsia" w:ascii="宋体" w:hAnsi="宋体" w:cs="宋体"/>
                <w:sz w:val="21"/>
                <w:szCs w:val="21"/>
              </w:rPr>
              <w:t>62</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2</w:t>
            </w:r>
          </w:p>
        </w:tc>
        <w:tc>
          <w:tcPr>
            <w:tcW w:w="6804" w:type="dxa"/>
            <w:vAlign w:val="center"/>
          </w:tcPr>
          <w:p>
            <w:pPr>
              <w:rPr>
                <w:rFonts w:ascii="宋体" w:hAnsi="宋体" w:cs="宋体"/>
                <w:sz w:val="21"/>
                <w:szCs w:val="21"/>
              </w:rPr>
            </w:pPr>
            <w:r>
              <w:rPr>
                <w:rFonts w:hint="eastAsia" w:ascii="宋体" w:hAnsi="宋体" w:cs="宋体"/>
                <w:color w:val="000000"/>
                <w:sz w:val="21"/>
                <w:szCs w:val="21"/>
              </w:rPr>
              <w:t>商用数据库套餐</w:t>
            </w:r>
          </w:p>
        </w:tc>
        <w:tc>
          <w:tcPr>
            <w:tcW w:w="992" w:type="dxa"/>
            <w:vAlign w:val="center"/>
          </w:tcPr>
          <w:p>
            <w:pPr>
              <w:jc w:val="center"/>
              <w:rPr>
                <w:rFonts w:ascii="宋体" w:hAnsi="宋体" w:cs="宋体"/>
                <w:sz w:val="21"/>
                <w:szCs w:val="21"/>
              </w:rPr>
            </w:pPr>
            <w:r>
              <w:rPr>
                <w:rFonts w:hint="eastAsia" w:ascii="宋体" w:hAnsi="宋体" w:cs="宋体"/>
                <w:sz w:val="21"/>
                <w:szCs w:val="21"/>
              </w:rPr>
              <w:t>2</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3</w:t>
            </w:r>
          </w:p>
        </w:tc>
        <w:tc>
          <w:tcPr>
            <w:tcW w:w="6804" w:type="dxa"/>
            <w:vAlign w:val="center"/>
          </w:tcPr>
          <w:p>
            <w:pPr>
              <w:rPr>
                <w:rFonts w:ascii="宋体" w:hAnsi="宋体" w:cs="宋体"/>
                <w:sz w:val="21"/>
                <w:szCs w:val="21"/>
              </w:rPr>
            </w:pPr>
            <w:r>
              <w:rPr>
                <w:rFonts w:hint="eastAsia" w:ascii="宋体" w:hAnsi="宋体" w:cs="宋体"/>
                <w:color w:val="000000"/>
                <w:sz w:val="21"/>
                <w:szCs w:val="21"/>
              </w:rPr>
              <w:t>云端APT防护服务</w:t>
            </w:r>
          </w:p>
        </w:tc>
        <w:tc>
          <w:tcPr>
            <w:tcW w:w="992" w:type="dxa"/>
            <w:vAlign w:val="center"/>
          </w:tcPr>
          <w:p>
            <w:pPr>
              <w:jc w:val="center"/>
              <w:rPr>
                <w:rFonts w:ascii="宋体" w:hAnsi="宋体" w:cs="宋体"/>
                <w:sz w:val="21"/>
                <w:szCs w:val="21"/>
              </w:rPr>
            </w:pPr>
            <w:r>
              <w:rPr>
                <w:rFonts w:hint="eastAsia" w:ascii="宋体" w:hAnsi="宋体" w:cs="宋体"/>
                <w:sz w:val="21"/>
                <w:szCs w:val="21"/>
              </w:rPr>
              <w:t>1</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4</w:t>
            </w:r>
          </w:p>
        </w:tc>
        <w:tc>
          <w:tcPr>
            <w:tcW w:w="6804" w:type="dxa"/>
            <w:vAlign w:val="center"/>
          </w:tcPr>
          <w:p>
            <w:pPr>
              <w:rPr>
                <w:rFonts w:ascii="宋体" w:hAnsi="宋体" w:cs="宋体"/>
                <w:sz w:val="21"/>
                <w:szCs w:val="21"/>
              </w:rPr>
            </w:pPr>
            <w:r>
              <w:rPr>
                <w:rFonts w:hint="eastAsia" w:ascii="宋体" w:hAnsi="宋体" w:cs="宋体"/>
                <w:color w:val="000000"/>
                <w:sz w:val="21"/>
                <w:szCs w:val="21"/>
              </w:rPr>
              <w:t>云端抗DDOS服务</w:t>
            </w:r>
          </w:p>
        </w:tc>
        <w:tc>
          <w:tcPr>
            <w:tcW w:w="992" w:type="dxa"/>
            <w:vAlign w:val="center"/>
          </w:tcPr>
          <w:p>
            <w:pPr>
              <w:jc w:val="center"/>
              <w:rPr>
                <w:rFonts w:ascii="宋体" w:hAnsi="宋体" w:cs="宋体"/>
                <w:sz w:val="21"/>
                <w:szCs w:val="21"/>
              </w:rPr>
            </w:pPr>
            <w:r>
              <w:rPr>
                <w:rFonts w:hint="eastAsia" w:ascii="宋体" w:hAnsi="宋体" w:cs="宋体"/>
                <w:sz w:val="21"/>
                <w:szCs w:val="21"/>
              </w:rPr>
              <w:t>1</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5</w:t>
            </w:r>
          </w:p>
        </w:tc>
        <w:tc>
          <w:tcPr>
            <w:tcW w:w="6804" w:type="dxa"/>
            <w:vAlign w:val="center"/>
          </w:tcPr>
          <w:p>
            <w:pPr>
              <w:rPr>
                <w:rFonts w:ascii="宋体" w:hAnsi="宋体" w:cs="宋体"/>
                <w:sz w:val="21"/>
                <w:szCs w:val="21"/>
              </w:rPr>
            </w:pPr>
            <w:r>
              <w:rPr>
                <w:rFonts w:hint="eastAsia" w:ascii="宋体" w:hAnsi="宋体" w:cs="宋体"/>
                <w:color w:val="000000"/>
                <w:sz w:val="21"/>
                <w:szCs w:val="21"/>
              </w:rPr>
              <w:t>主机杀毒服务</w:t>
            </w:r>
          </w:p>
        </w:tc>
        <w:tc>
          <w:tcPr>
            <w:tcW w:w="992" w:type="dxa"/>
            <w:vAlign w:val="center"/>
          </w:tcPr>
          <w:p>
            <w:pPr>
              <w:jc w:val="center"/>
              <w:rPr>
                <w:rFonts w:ascii="宋体" w:hAnsi="宋体" w:cs="宋体"/>
                <w:sz w:val="21"/>
                <w:szCs w:val="21"/>
              </w:rPr>
            </w:pPr>
            <w:r>
              <w:rPr>
                <w:rFonts w:hint="eastAsia" w:ascii="宋体" w:hAnsi="宋体" w:cs="宋体"/>
                <w:sz w:val="21"/>
                <w:szCs w:val="21"/>
              </w:rPr>
              <w:t>62</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6</w:t>
            </w:r>
          </w:p>
        </w:tc>
        <w:tc>
          <w:tcPr>
            <w:tcW w:w="6804" w:type="dxa"/>
            <w:vAlign w:val="center"/>
          </w:tcPr>
          <w:p>
            <w:pPr>
              <w:rPr>
                <w:rFonts w:ascii="宋体" w:hAnsi="宋体" w:cs="宋体"/>
                <w:sz w:val="21"/>
                <w:szCs w:val="21"/>
              </w:rPr>
            </w:pPr>
            <w:r>
              <w:rPr>
                <w:rFonts w:hint="eastAsia" w:ascii="宋体" w:hAnsi="宋体" w:cs="宋体"/>
                <w:color w:val="000000"/>
                <w:sz w:val="21"/>
                <w:szCs w:val="21"/>
              </w:rPr>
              <w:t>主机漏洞扫描</w:t>
            </w:r>
          </w:p>
        </w:tc>
        <w:tc>
          <w:tcPr>
            <w:tcW w:w="992" w:type="dxa"/>
            <w:vAlign w:val="center"/>
          </w:tcPr>
          <w:p>
            <w:pPr>
              <w:jc w:val="center"/>
              <w:rPr>
                <w:rFonts w:ascii="宋体" w:hAnsi="宋体" w:cs="宋体"/>
                <w:sz w:val="21"/>
                <w:szCs w:val="21"/>
              </w:rPr>
            </w:pPr>
            <w:r>
              <w:rPr>
                <w:rFonts w:hint="eastAsia" w:ascii="宋体" w:hAnsi="宋体" w:cs="宋体"/>
                <w:sz w:val="21"/>
                <w:szCs w:val="21"/>
              </w:rPr>
              <w:t>62</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7</w:t>
            </w:r>
          </w:p>
        </w:tc>
        <w:tc>
          <w:tcPr>
            <w:tcW w:w="6804" w:type="dxa"/>
            <w:vAlign w:val="center"/>
          </w:tcPr>
          <w:p>
            <w:pPr>
              <w:rPr>
                <w:rFonts w:ascii="宋体" w:hAnsi="宋体" w:cs="宋体"/>
                <w:sz w:val="21"/>
                <w:szCs w:val="21"/>
              </w:rPr>
            </w:pPr>
            <w:r>
              <w:rPr>
                <w:rFonts w:hint="eastAsia" w:ascii="宋体" w:hAnsi="宋体" w:cs="宋体"/>
                <w:color w:val="000000"/>
                <w:sz w:val="21"/>
                <w:szCs w:val="21"/>
              </w:rPr>
              <w:t>主机安全加固</w:t>
            </w:r>
          </w:p>
        </w:tc>
        <w:tc>
          <w:tcPr>
            <w:tcW w:w="992" w:type="dxa"/>
            <w:vAlign w:val="center"/>
          </w:tcPr>
          <w:p>
            <w:pPr>
              <w:jc w:val="center"/>
              <w:rPr>
                <w:rFonts w:ascii="宋体" w:hAnsi="宋体" w:cs="宋体"/>
                <w:sz w:val="21"/>
                <w:szCs w:val="21"/>
              </w:rPr>
            </w:pPr>
            <w:r>
              <w:rPr>
                <w:rFonts w:hint="eastAsia" w:ascii="宋体" w:hAnsi="宋体" w:cs="宋体"/>
                <w:sz w:val="21"/>
                <w:szCs w:val="21"/>
              </w:rPr>
              <w:t>62</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8</w:t>
            </w:r>
          </w:p>
        </w:tc>
        <w:tc>
          <w:tcPr>
            <w:tcW w:w="6804" w:type="dxa"/>
            <w:vAlign w:val="center"/>
          </w:tcPr>
          <w:p>
            <w:pPr>
              <w:rPr>
                <w:rFonts w:ascii="宋体" w:hAnsi="宋体" w:cs="宋体"/>
                <w:sz w:val="21"/>
                <w:szCs w:val="21"/>
              </w:rPr>
            </w:pPr>
            <w:r>
              <w:rPr>
                <w:rFonts w:hint="eastAsia" w:ascii="宋体" w:hAnsi="宋体" w:cs="宋体"/>
                <w:color w:val="000000"/>
                <w:sz w:val="21"/>
                <w:szCs w:val="21"/>
              </w:rPr>
              <w:t>网页防篡改服务</w:t>
            </w:r>
          </w:p>
        </w:tc>
        <w:tc>
          <w:tcPr>
            <w:tcW w:w="992" w:type="dxa"/>
            <w:vAlign w:val="center"/>
          </w:tcPr>
          <w:p>
            <w:pPr>
              <w:jc w:val="center"/>
              <w:rPr>
                <w:rFonts w:ascii="宋体" w:hAnsi="宋体" w:cs="宋体"/>
                <w:sz w:val="21"/>
                <w:szCs w:val="21"/>
              </w:rPr>
            </w:pPr>
            <w:r>
              <w:rPr>
                <w:rFonts w:hint="eastAsia" w:ascii="宋体" w:hAnsi="宋体" w:cs="宋体"/>
                <w:sz w:val="21"/>
                <w:szCs w:val="21"/>
              </w:rPr>
              <w:t>2</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9</w:t>
            </w:r>
          </w:p>
        </w:tc>
        <w:tc>
          <w:tcPr>
            <w:tcW w:w="6804" w:type="dxa"/>
            <w:vAlign w:val="center"/>
          </w:tcPr>
          <w:p>
            <w:pPr>
              <w:rPr>
                <w:rFonts w:ascii="宋体" w:hAnsi="宋体" w:cs="宋体"/>
                <w:color w:val="000000"/>
                <w:sz w:val="21"/>
                <w:szCs w:val="21"/>
              </w:rPr>
            </w:pPr>
            <w:r>
              <w:rPr>
                <w:rFonts w:hint="eastAsia" w:ascii="宋体" w:hAnsi="宋体" w:cs="宋体"/>
                <w:color w:val="000000"/>
                <w:sz w:val="21"/>
                <w:szCs w:val="21"/>
              </w:rPr>
              <w:t>数据库审计服务</w:t>
            </w:r>
          </w:p>
        </w:tc>
        <w:tc>
          <w:tcPr>
            <w:tcW w:w="992" w:type="dxa"/>
            <w:vAlign w:val="center"/>
          </w:tcPr>
          <w:p>
            <w:pPr>
              <w:jc w:val="center"/>
              <w:rPr>
                <w:rFonts w:ascii="宋体" w:hAnsi="宋体" w:cs="宋体"/>
                <w:sz w:val="21"/>
                <w:szCs w:val="21"/>
              </w:rPr>
            </w:pPr>
            <w:r>
              <w:rPr>
                <w:rFonts w:hint="eastAsia" w:ascii="宋体" w:hAnsi="宋体" w:cs="宋体"/>
                <w:sz w:val="21"/>
                <w:szCs w:val="21"/>
              </w:rPr>
              <w:t>2</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10</w:t>
            </w:r>
          </w:p>
        </w:tc>
        <w:tc>
          <w:tcPr>
            <w:tcW w:w="6804" w:type="dxa"/>
            <w:vAlign w:val="center"/>
          </w:tcPr>
          <w:p>
            <w:pPr>
              <w:rPr>
                <w:rFonts w:ascii="宋体" w:hAnsi="宋体" w:cs="宋体"/>
                <w:color w:val="000000"/>
                <w:sz w:val="21"/>
                <w:szCs w:val="21"/>
              </w:rPr>
            </w:pPr>
            <w:r>
              <w:rPr>
                <w:rFonts w:hint="eastAsia" w:ascii="宋体" w:hAnsi="宋体" w:cs="宋体"/>
                <w:color w:val="000000"/>
                <w:sz w:val="21"/>
                <w:szCs w:val="21"/>
              </w:rPr>
              <w:t>主机日志分析</w:t>
            </w:r>
          </w:p>
        </w:tc>
        <w:tc>
          <w:tcPr>
            <w:tcW w:w="992" w:type="dxa"/>
            <w:vAlign w:val="center"/>
          </w:tcPr>
          <w:p>
            <w:pPr>
              <w:jc w:val="center"/>
              <w:rPr>
                <w:rFonts w:ascii="宋体" w:hAnsi="宋体" w:cs="宋体"/>
                <w:sz w:val="21"/>
                <w:szCs w:val="21"/>
              </w:rPr>
            </w:pPr>
            <w:r>
              <w:rPr>
                <w:rFonts w:hint="eastAsia" w:ascii="宋体" w:hAnsi="宋体" w:cs="宋体"/>
                <w:sz w:val="21"/>
                <w:szCs w:val="21"/>
              </w:rPr>
              <w:t>20</w:t>
            </w:r>
          </w:p>
        </w:tc>
        <w:tc>
          <w:tcPr>
            <w:tcW w:w="992" w:type="dxa"/>
            <w:vAlign w:val="center"/>
          </w:tcPr>
          <w:p>
            <w:pPr>
              <w:jc w:val="center"/>
              <w:rPr>
                <w:rFonts w:ascii="宋体" w:hAnsi="宋体" w:cs="宋体"/>
                <w:sz w:val="21"/>
                <w:szCs w:val="21"/>
              </w:rPr>
            </w:pPr>
            <w:r>
              <w:rPr>
                <w:rFonts w:hint="eastAsia" w:ascii="宋体" w:hAnsi="宋体" w:cs="宋体"/>
                <w:color w:val="00000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ascii="宋体" w:hAnsi="宋体" w:cs="宋体"/>
                <w:sz w:val="21"/>
                <w:szCs w:val="21"/>
              </w:rPr>
            </w:pPr>
            <w:r>
              <w:rPr>
                <w:rFonts w:hint="eastAsia" w:ascii="宋体" w:hAnsi="宋体" w:cs="宋体"/>
                <w:sz w:val="21"/>
                <w:szCs w:val="21"/>
              </w:rPr>
              <w:t>11</w:t>
            </w:r>
          </w:p>
        </w:tc>
        <w:tc>
          <w:tcPr>
            <w:tcW w:w="6804" w:type="dxa"/>
            <w:vAlign w:val="center"/>
          </w:tcPr>
          <w:p>
            <w:pPr>
              <w:rPr>
                <w:rFonts w:ascii="宋体" w:hAnsi="宋体" w:cs="宋体"/>
                <w:color w:val="000000"/>
                <w:sz w:val="21"/>
                <w:szCs w:val="21"/>
              </w:rPr>
            </w:pPr>
            <w:r>
              <w:rPr>
                <w:rFonts w:hint="eastAsia" w:ascii="宋体" w:hAnsi="宋体" w:cs="宋体"/>
                <w:sz w:val="21"/>
                <w:szCs w:val="21"/>
              </w:rPr>
              <w:t>北京新媒体集团播出信号监测软件</w:t>
            </w:r>
          </w:p>
        </w:tc>
        <w:tc>
          <w:tcPr>
            <w:tcW w:w="992" w:type="dxa"/>
            <w:vAlign w:val="center"/>
          </w:tcPr>
          <w:p>
            <w:pPr>
              <w:jc w:val="center"/>
              <w:rPr>
                <w:rFonts w:ascii="宋体" w:hAnsi="宋体" w:cs="宋体"/>
                <w:sz w:val="21"/>
                <w:szCs w:val="21"/>
              </w:rPr>
            </w:pPr>
            <w:r>
              <w:rPr>
                <w:rFonts w:hint="eastAsia" w:ascii="宋体" w:hAnsi="宋体" w:cs="宋体"/>
                <w:sz w:val="21"/>
                <w:szCs w:val="21"/>
              </w:rPr>
              <w:t>1</w:t>
            </w:r>
          </w:p>
        </w:tc>
        <w:tc>
          <w:tcPr>
            <w:tcW w:w="992" w:type="dxa"/>
            <w:vAlign w:val="center"/>
          </w:tcPr>
          <w:p>
            <w:pPr>
              <w:jc w:val="center"/>
              <w:rPr>
                <w:rFonts w:ascii="宋体" w:hAnsi="宋体" w:cs="宋体"/>
                <w:color w:val="000000"/>
                <w:sz w:val="21"/>
                <w:szCs w:val="21"/>
              </w:rPr>
            </w:pPr>
            <w:r>
              <w:rPr>
                <w:rFonts w:hint="eastAsia" w:ascii="宋体" w:hAnsi="宋体" w:cs="宋体"/>
                <w:color w:val="000000"/>
                <w:sz w:val="21"/>
                <w:szCs w:val="21"/>
              </w:rPr>
              <w:t>套</w:t>
            </w:r>
          </w:p>
        </w:tc>
      </w:tr>
    </w:tbl>
    <w:p>
      <w:pPr>
        <w:spacing w:after="120" w:line="360" w:lineRule="auto"/>
        <w:rPr>
          <w:rFonts w:ascii="宋体" w:hAnsi="宋体" w:cs="宋体"/>
          <w:sz w:val="21"/>
          <w:szCs w:val="21"/>
        </w:rPr>
      </w:pPr>
    </w:p>
    <w:p>
      <w:pPr>
        <w:spacing w:after="120" w:line="360" w:lineRule="auto"/>
        <w:rPr>
          <w:rFonts w:ascii="宋体" w:hAnsi="宋体" w:cs="宋体"/>
          <w:b/>
          <w:sz w:val="21"/>
          <w:szCs w:val="21"/>
        </w:rPr>
      </w:pPr>
      <w:r>
        <w:rPr>
          <w:rFonts w:hint="eastAsia" w:ascii="宋体" w:hAnsi="宋体" w:cs="宋体"/>
          <w:sz w:val="21"/>
          <w:szCs w:val="21"/>
        </w:rPr>
        <w:t xml:space="preserve">    三、</w:t>
      </w:r>
      <w:r>
        <w:rPr>
          <w:rFonts w:hint="eastAsia" w:ascii="宋体" w:hAnsi="宋体" w:cs="宋体"/>
          <w:b/>
          <w:sz w:val="21"/>
          <w:szCs w:val="21"/>
        </w:rPr>
        <w:t>服务要求</w:t>
      </w:r>
    </w:p>
    <w:p>
      <w:pPr>
        <w:spacing w:line="360" w:lineRule="auto"/>
        <w:ind w:firstLine="465"/>
        <w:rPr>
          <w:rFonts w:ascii="宋体" w:hAnsi="宋体" w:cs="宋体"/>
          <w:sz w:val="21"/>
          <w:szCs w:val="21"/>
        </w:rPr>
      </w:pPr>
      <w:r>
        <w:rPr>
          <w:rFonts w:hint="eastAsia" w:ascii="宋体" w:hAnsi="宋体" w:cs="宋体"/>
          <w:sz w:val="21"/>
          <w:szCs w:val="21"/>
        </w:rPr>
        <w:t>投标人应提供详细的项目实施方案，对政务云基础服务、扩展服务全面响应。</w:t>
      </w:r>
    </w:p>
    <w:p>
      <w:pPr>
        <w:spacing w:line="360" w:lineRule="auto"/>
        <w:ind w:firstLine="465"/>
        <w:rPr>
          <w:rFonts w:ascii="宋体" w:hAnsi="宋体" w:cs="宋体"/>
          <w:b/>
          <w:sz w:val="21"/>
          <w:szCs w:val="21"/>
        </w:rPr>
      </w:pPr>
      <w:r>
        <w:rPr>
          <w:rFonts w:hint="eastAsia" w:ascii="宋体" w:hAnsi="宋体" w:cs="宋体"/>
          <w:b/>
          <w:sz w:val="21"/>
          <w:szCs w:val="21"/>
        </w:rPr>
        <w:t>（一）政务云服务要求</w:t>
      </w:r>
    </w:p>
    <w:p>
      <w:pPr>
        <w:spacing w:line="360" w:lineRule="auto"/>
        <w:ind w:firstLine="465"/>
        <w:rPr>
          <w:rFonts w:ascii="宋体" w:hAnsi="宋体" w:cs="宋体"/>
          <w:b/>
          <w:sz w:val="21"/>
          <w:szCs w:val="21"/>
        </w:rPr>
      </w:pPr>
      <w:r>
        <w:rPr>
          <w:rFonts w:hint="eastAsia" w:ascii="宋体" w:hAnsi="宋体" w:cs="宋体"/>
          <w:b/>
          <w:sz w:val="21"/>
          <w:szCs w:val="21"/>
        </w:rPr>
        <w:t>1.政务云基础服务要求</w:t>
      </w:r>
    </w:p>
    <w:p>
      <w:pPr>
        <w:spacing w:line="360" w:lineRule="auto"/>
        <w:ind w:firstLine="540"/>
        <w:rPr>
          <w:rFonts w:ascii="宋体" w:hAnsi="宋体" w:cs="宋体"/>
          <w:sz w:val="21"/>
          <w:szCs w:val="21"/>
        </w:rPr>
      </w:pPr>
      <w:r>
        <w:rPr>
          <w:rFonts w:hint="eastAsia" w:ascii="宋体" w:hAnsi="宋体" w:cs="宋体"/>
          <w:sz w:val="21"/>
          <w:szCs w:val="21"/>
        </w:rPr>
        <w:t>（1）政务云服务平台管理系统需要具备安全、稳定、可靠和高扩展等特性，云平台应具备不低于99.99%可用性，支持用户自主配置主机、存储、网络、安全等资源，支持定制化开发。</w:t>
      </w:r>
    </w:p>
    <w:p>
      <w:pPr>
        <w:spacing w:line="360" w:lineRule="auto"/>
        <w:ind w:firstLine="540"/>
        <w:rPr>
          <w:rFonts w:ascii="宋体" w:hAnsi="宋体" w:cs="宋体"/>
          <w:sz w:val="21"/>
          <w:szCs w:val="21"/>
        </w:rPr>
      </w:pPr>
      <w:r>
        <w:rPr>
          <w:rFonts w:hint="eastAsia" w:ascii="宋体" w:hAnsi="宋体" w:cs="宋体"/>
          <w:sz w:val="21"/>
          <w:szCs w:val="21"/>
        </w:rPr>
        <w:t>（2）支持数据中心资源动态调度，云主机资源支持弹性调整，可根据业务压力随时调整虚拟机数量、内存及数据盘磁盘容量，实例可用性达99.99%；虚拟机支持秒级启动功能，停机时间可控制在秒级。</w:t>
      </w:r>
    </w:p>
    <w:p>
      <w:pPr>
        <w:spacing w:line="360" w:lineRule="auto"/>
        <w:ind w:firstLine="540"/>
        <w:rPr>
          <w:rFonts w:ascii="宋体" w:hAnsi="宋体" w:cs="宋体"/>
          <w:sz w:val="21"/>
          <w:szCs w:val="21"/>
        </w:rPr>
      </w:pPr>
      <w:r>
        <w:rPr>
          <w:rFonts w:hint="eastAsia" w:ascii="宋体" w:hAnsi="宋体" w:cs="宋体"/>
          <w:sz w:val="21"/>
          <w:szCs w:val="21"/>
        </w:rPr>
        <w:t>（3）支持对虚拟机CPU、内存、存储、带宽进行实时监控，并支持自定义告警规则。</w:t>
      </w:r>
    </w:p>
    <w:p>
      <w:pPr>
        <w:spacing w:line="360" w:lineRule="auto"/>
        <w:ind w:firstLine="540"/>
        <w:rPr>
          <w:rFonts w:ascii="宋体" w:hAnsi="宋体" w:cs="宋体"/>
          <w:sz w:val="21"/>
          <w:szCs w:val="21"/>
        </w:rPr>
      </w:pPr>
      <w:r>
        <w:rPr>
          <w:rFonts w:hint="eastAsia" w:ascii="宋体" w:hAnsi="宋体" w:cs="宋体"/>
          <w:sz w:val="21"/>
          <w:szCs w:val="21"/>
        </w:rPr>
        <w:t>（4）支持虚拟机的跨物理服务器的在线迁移。</w:t>
      </w:r>
    </w:p>
    <w:p>
      <w:pPr>
        <w:spacing w:line="360" w:lineRule="auto"/>
        <w:ind w:firstLine="540"/>
        <w:rPr>
          <w:rFonts w:ascii="宋体" w:hAnsi="宋体" w:cs="宋体"/>
          <w:sz w:val="21"/>
          <w:szCs w:val="21"/>
        </w:rPr>
      </w:pPr>
      <w:r>
        <w:rPr>
          <w:rFonts w:hint="eastAsia" w:ascii="宋体" w:hAnsi="宋体" w:cs="宋体"/>
          <w:sz w:val="21"/>
          <w:szCs w:val="21"/>
        </w:rPr>
        <w:t>（5）支持自动生成资源使用情况的数据报表（需提供所投产品此项要求的系统功能截图或其他有效证明材料）。</w:t>
      </w:r>
    </w:p>
    <w:p>
      <w:pPr>
        <w:spacing w:line="360" w:lineRule="auto"/>
        <w:ind w:firstLine="540"/>
        <w:rPr>
          <w:rFonts w:ascii="宋体" w:hAnsi="宋体" w:cs="宋体"/>
          <w:sz w:val="21"/>
          <w:szCs w:val="21"/>
        </w:rPr>
      </w:pPr>
      <w:r>
        <w:rPr>
          <w:rFonts w:hint="eastAsia" w:ascii="宋体" w:hAnsi="宋体" w:cs="宋体"/>
          <w:sz w:val="21"/>
          <w:szCs w:val="21"/>
        </w:rPr>
        <w:t xml:space="preserve">（6）支持用户自主制作镜像功能。  </w:t>
      </w:r>
    </w:p>
    <w:p>
      <w:pPr>
        <w:spacing w:line="360" w:lineRule="auto"/>
        <w:ind w:firstLine="540"/>
        <w:rPr>
          <w:rFonts w:ascii="宋体" w:hAnsi="宋体" w:cs="宋体"/>
          <w:sz w:val="21"/>
          <w:szCs w:val="21"/>
        </w:rPr>
      </w:pPr>
      <w:r>
        <w:rPr>
          <w:rFonts w:hint="eastAsia" w:ascii="宋体" w:hAnsi="宋体" w:cs="宋体"/>
          <w:sz w:val="21"/>
          <w:szCs w:val="21"/>
        </w:rPr>
        <w:t xml:space="preserve">（7）支持windows server 2008  Datacenter x32 英文、windows server 2008 R2 Datacenter x64中文/英文、windows server 2012 R2 Datacenter x64中文/英文、centos x64、debian 8.2 x64、Fedora 20 x64、ubuntu  server x64等主流操作系统。  </w:t>
      </w:r>
    </w:p>
    <w:p>
      <w:pPr>
        <w:spacing w:line="360" w:lineRule="auto"/>
        <w:ind w:firstLine="540"/>
        <w:rPr>
          <w:rFonts w:ascii="宋体" w:hAnsi="宋体" w:cs="宋体"/>
          <w:sz w:val="21"/>
          <w:szCs w:val="21"/>
        </w:rPr>
      </w:pPr>
      <w:r>
        <w:rPr>
          <w:rFonts w:hint="eastAsia" w:ascii="宋体" w:hAnsi="宋体" w:cs="宋体"/>
          <w:sz w:val="21"/>
          <w:szCs w:val="21"/>
        </w:rPr>
        <w:t xml:space="preserve">（8）可按要求对资源进行物理或逻辑隔离，满足政务云平台独立资源区域划分要求；支持用户自定义虚拟主机专用网络或VLAN，并支持7层和4层的软件负载均衡。 </w:t>
      </w:r>
    </w:p>
    <w:p>
      <w:pPr>
        <w:spacing w:line="360" w:lineRule="auto"/>
        <w:ind w:firstLine="540"/>
        <w:rPr>
          <w:rFonts w:ascii="宋体" w:hAnsi="宋体" w:cs="宋体"/>
          <w:sz w:val="21"/>
          <w:szCs w:val="21"/>
        </w:rPr>
      </w:pPr>
      <w:r>
        <w:rPr>
          <w:rFonts w:hint="eastAsia" w:ascii="宋体" w:hAnsi="宋体" w:cs="宋体"/>
          <w:sz w:val="21"/>
          <w:szCs w:val="21"/>
        </w:rPr>
        <w:t xml:space="preserve">（9）提供高性能存储空间，读写IOPS： 3000-20000；支持NFS，CIFS，SAMBA等协议，可进行跨平台文件共享。  </w:t>
      </w:r>
    </w:p>
    <w:p>
      <w:pPr>
        <w:spacing w:line="360" w:lineRule="auto"/>
        <w:ind w:firstLine="540"/>
        <w:rPr>
          <w:rFonts w:ascii="宋体" w:hAnsi="宋体" w:cs="宋体"/>
          <w:sz w:val="21"/>
          <w:szCs w:val="21"/>
        </w:rPr>
      </w:pPr>
      <w:r>
        <w:rPr>
          <w:rFonts w:hint="eastAsia" w:ascii="宋体" w:hAnsi="宋体" w:cs="宋体"/>
          <w:sz w:val="21"/>
          <w:szCs w:val="21"/>
        </w:rPr>
        <w:t>（10）支持存储快照，对系统盘、磁盘数据生成备份，快速恢复数据，本地数据零丢失。</w:t>
      </w:r>
    </w:p>
    <w:p>
      <w:pPr>
        <w:spacing w:line="360" w:lineRule="auto"/>
        <w:ind w:firstLine="540"/>
        <w:rPr>
          <w:rFonts w:ascii="宋体" w:hAnsi="宋体" w:cs="宋体"/>
          <w:sz w:val="21"/>
          <w:szCs w:val="21"/>
        </w:rPr>
      </w:pPr>
      <w:r>
        <w:rPr>
          <w:rFonts w:hint="eastAsia" w:ascii="宋体" w:hAnsi="宋体" w:cs="宋体"/>
          <w:sz w:val="21"/>
          <w:szCs w:val="21"/>
        </w:rPr>
        <w:t>（11）支持云磁盘的创建、删除、挂载到一个特定的虚拟机，作为用户的数据盘使用，支持逻辑卷快照及恢复，支持逻辑卷按需扩容。</w:t>
      </w:r>
    </w:p>
    <w:p>
      <w:pPr>
        <w:spacing w:line="360" w:lineRule="auto"/>
        <w:ind w:firstLine="540"/>
        <w:rPr>
          <w:rFonts w:ascii="宋体" w:hAnsi="宋体" w:cs="宋体"/>
          <w:sz w:val="21"/>
          <w:szCs w:val="21"/>
        </w:rPr>
      </w:pPr>
      <w:r>
        <w:rPr>
          <w:rFonts w:hint="eastAsia" w:ascii="宋体" w:hAnsi="宋体" w:cs="宋体"/>
          <w:sz w:val="21"/>
          <w:szCs w:val="21"/>
        </w:rPr>
        <w:t>（12）支持用户自主进行虚拟资源的新建、添加、删除、启动、停止、资源释放和回收。</w:t>
      </w:r>
    </w:p>
    <w:p>
      <w:pPr>
        <w:spacing w:line="360" w:lineRule="auto"/>
        <w:ind w:firstLine="540"/>
        <w:rPr>
          <w:rFonts w:ascii="宋体" w:hAnsi="宋体" w:cs="宋体"/>
          <w:sz w:val="21"/>
          <w:szCs w:val="21"/>
        </w:rPr>
      </w:pPr>
      <w:r>
        <w:rPr>
          <w:rFonts w:hint="eastAsia" w:ascii="宋体" w:hAnsi="宋体" w:cs="宋体"/>
          <w:sz w:val="21"/>
          <w:szCs w:val="21"/>
        </w:rPr>
        <w:t>（13）支持云平台租户自行指定云主机的网卡IP。</w:t>
      </w:r>
    </w:p>
    <w:p>
      <w:pPr>
        <w:spacing w:line="360" w:lineRule="auto"/>
        <w:ind w:firstLine="540"/>
        <w:rPr>
          <w:rFonts w:ascii="宋体" w:hAnsi="宋体" w:cs="宋体"/>
          <w:sz w:val="21"/>
          <w:szCs w:val="21"/>
        </w:rPr>
      </w:pPr>
      <w:r>
        <w:rPr>
          <w:rFonts w:hint="eastAsia" w:ascii="宋体" w:hAnsi="宋体" w:cs="宋体"/>
          <w:sz w:val="21"/>
          <w:szCs w:val="21"/>
        </w:rPr>
        <w:t>（14）支持图形化管理物理裸机，支持云平台对物理机的开关启停操作，支持物理机自动安装操作系统（需提供所投产品此项要求的系统功能截图或其他有效证明材料）。</w:t>
      </w:r>
    </w:p>
    <w:p>
      <w:pPr>
        <w:spacing w:line="360" w:lineRule="auto"/>
        <w:ind w:firstLine="540"/>
        <w:rPr>
          <w:rFonts w:ascii="宋体" w:hAnsi="宋体" w:cs="宋体"/>
          <w:sz w:val="21"/>
          <w:szCs w:val="21"/>
        </w:rPr>
      </w:pPr>
      <w:r>
        <w:rPr>
          <w:rFonts w:hint="eastAsia" w:ascii="宋体" w:hAnsi="宋体" w:cs="宋体"/>
          <w:sz w:val="21"/>
          <w:szCs w:val="21"/>
        </w:rPr>
        <w:t>（15）支持自定义定时任务，提供指定时间周期的定时任务，包括开关云主机、定时快照、浮动IP带宽调整等（需提供所投产品此项要求的系统功能截图或其他有效证明材料）</w:t>
      </w:r>
    </w:p>
    <w:p>
      <w:pPr>
        <w:spacing w:line="360" w:lineRule="auto"/>
        <w:ind w:firstLine="540"/>
        <w:rPr>
          <w:rFonts w:ascii="宋体" w:hAnsi="宋体" w:cs="宋体"/>
          <w:sz w:val="21"/>
          <w:szCs w:val="21"/>
        </w:rPr>
      </w:pPr>
    </w:p>
    <w:p>
      <w:pPr>
        <w:spacing w:line="360" w:lineRule="auto"/>
        <w:ind w:firstLine="465"/>
        <w:rPr>
          <w:rFonts w:ascii="宋体" w:hAnsi="宋体" w:cs="宋体"/>
          <w:b/>
          <w:sz w:val="21"/>
          <w:szCs w:val="21"/>
        </w:rPr>
      </w:pPr>
      <w:r>
        <w:rPr>
          <w:rFonts w:hint="eastAsia" w:ascii="宋体" w:hAnsi="宋体" w:cs="宋体"/>
          <w:b/>
          <w:sz w:val="21"/>
          <w:szCs w:val="21"/>
        </w:rPr>
        <w:t>2.政务云扩展服务要求</w:t>
      </w:r>
    </w:p>
    <w:p>
      <w:pPr>
        <w:spacing w:line="360" w:lineRule="auto"/>
        <w:ind w:firstLine="540"/>
        <w:rPr>
          <w:rFonts w:ascii="宋体" w:hAnsi="宋体" w:cs="宋体"/>
          <w:sz w:val="21"/>
          <w:szCs w:val="21"/>
        </w:rPr>
      </w:pPr>
      <w:r>
        <w:rPr>
          <w:rFonts w:hint="eastAsia" w:ascii="宋体" w:hAnsi="宋体" w:cs="宋体"/>
          <w:sz w:val="21"/>
          <w:szCs w:val="21"/>
        </w:rPr>
        <w:t>（1）确保广播电视融合媒体智慧监管平台网络安全防护措施符合等保2.0二级防护要求。</w:t>
      </w:r>
    </w:p>
    <w:p>
      <w:pPr>
        <w:spacing w:line="360" w:lineRule="auto"/>
        <w:ind w:firstLine="540"/>
        <w:rPr>
          <w:rFonts w:ascii="宋体" w:hAnsi="宋体" w:cs="宋体"/>
          <w:sz w:val="21"/>
          <w:szCs w:val="21"/>
        </w:rPr>
      </w:pPr>
      <w:r>
        <w:rPr>
          <w:rFonts w:hint="eastAsia" w:ascii="宋体" w:hAnsi="宋体" w:cs="宋体"/>
          <w:sz w:val="21"/>
          <w:szCs w:val="21"/>
        </w:rPr>
        <w:t>（2）确保广播电视融合媒体智慧监管平台政务云资源安全可靠运行，无安全隐患，不被病毒、木马等网络威胁攻击；有完整的网络安全应急预案，应对可能发生的紧急事故。</w:t>
      </w:r>
    </w:p>
    <w:p>
      <w:pPr>
        <w:spacing w:line="360" w:lineRule="auto"/>
        <w:ind w:firstLine="540"/>
        <w:rPr>
          <w:rFonts w:ascii="宋体" w:hAnsi="宋体" w:cs="宋体"/>
          <w:sz w:val="21"/>
          <w:szCs w:val="21"/>
        </w:rPr>
      </w:pPr>
      <w:r>
        <w:rPr>
          <w:rFonts w:hint="eastAsia" w:ascii="宋体" w:hAnsi="宋体" w:cs="宋体"/>
          <w:sz w:val="21"/>
          <w:szCs w:val="21"/>
        </w:rPr>
        <w:t>（3）提供云主机深度监控、网络流量监控、抗DDos、防篡改等网络安全服务，定期进行漏洞扫描、杀毒、防护。</w:t>
      </w:r>
    </w:p>
    <w:p>
      <w:pPr>
        <w:spacing w:line="360" w:lineRule="auto"/>
        <w:ind w:firstLine="540"/>
        <w:rPr>
          <w:rFonts w:ascii="宋体" w:hAnsi="宋体" w:cs="宋体"/>
          <w:sz w:val="21"/>
          <w:szCs w:val="21"/>
        </w:rPr>
      </w:pPr>
      <w:r>
        <w:rPr>
          <w:rFonts w:hint="eastAsia" w:ascii="宋体" w:hAnsi="宋体" w:cs="宋体"/>
          <w:sz w:val="21"/>
          <w:szCs w:val="21"/>
        </w:rPr>
        <w:t>（4）北京新媒体集团播出信号监测软件实现北京新媒体集团播出的直播节目和5个IPTV用户端接收的直播、点播节目信号进行安全播出异态监测、节目技术质量监测、节目码流监测、EPG监测、节目一致性监测、节目源地址监测、节目频道监测、违规节目信息监测、视频图像识别、报警信息上报、节目多画面合成显示和上传、节目存储与管理等功能。</w:t>
      </w:r>
    </w:p>
    <w:p>
      <w:pPr>
        <w:spacing w:line="360" w:lineRule="auto"/>
        <w:ind w:firstLine="540"/>
        <w:rPr>
          <w:rFonts w:ascii="宋体" w:hAnsi="宋体" w:cs="宋体"/>
          <w:sz w:val="21"/>
          <w:szCs w:val="21"/>
        </w:rPr>
      </w:pPr>
      <w:r>
        <w:rPr>
          <w:rFonts w:hint="eastAsia" w:ascii="宋体" w:hAnsi="宋体" w:cs="宋体"/>
          <w:sz w:val="21"/>
          <w:szCs w:val="21"/>
        </w:rPr>
        <w:t>（5）支持对北京新媒体集团播出信号监测软件功能进行改进完善、升级；根据采购人业务需要，随时增减监测节目套数、调整监测门限及运行图、设置技术参数等。</w:t>
      </w:r>
    </w:p>
    <w:p>
      <w:pPr>
        <w:spacing w:line="360" w:lineRule="auto"/>
        <w:ind w:firstLine="540"/>
        <w:rPr>
          <w:rFonts w:ascii="宋体" w:hAnsi="宋体" w:cs="宋体"/>
          <w:sz w:val="21"/>
          <w:szCs w:val="21"/>
        </w:rPr>
      </w:pPr>
      <w:r>
        <w:rPr>
          <w:rFonts w:hint="eastAsia" w:ascii="宋体" w:hAnsi="宋体" w:cs="宋体"/>
          <w:sz w:val="21"/>
          <w:szCs w:val="21"/>
        </w:rPr>
        <w:t>（6）投标人需提供云平台商业密码安全性评估报告复印件（时间需在自2022年1月1日至本项目开标前一日内），评估结果符合密评第三级信息系统要求，评测报告持有人与投标人必须完全一致并加盖证明及评测报告持有人公章。</w:t>
      </w:r>
    </w:p>
    <w:p>
      <w:pPr>
        <w:spacing w:line="360" w:lineRule="auto"/>
        <w:ind w:firstLine="540"/>
        <w:rPr>
          <w:rFonts w:ascii="宋体" w:hAnsi="宋体" w:cs="宋体"/>
          <w:sz w:val="21"/>
          <w:szCs w:val="21"/>
        </w:rPr>
      </w:pPr>
      <w:r>
        <w:rPr>
          <w:rFonts w:hint="eastAsia" w:ascii="宋体" w:hAnsi="宋体" w:cs="宋体"/>
          <w:sz w:val="21"/>
          <w:szCs w:val="21"/>
        </w:rPr>
        <w:t>（7）投标人需提供投标人的政务云平台在公安部门进行信息安全等级保护第三级的备案证明（需提供投标人的政务云平台在公安部门进行信息安全等级保护的备案证明复印件，复印件需包含公安部门信息安全等级保护专用章）。</w:t>
      </w:r>
    </w:p>
    <w:p>
      <w:pPr>
        <w:spacing w:line="360" w:lineRule="auto"/>
        <w:ind w:firstLine="465"/>
        <w:rPr>
          <w:rFonts w:ascii="宋体" w:hAnsi="宋体" w:cs="宋体"/>
          <w:b/>
          <w:sz w:val="21"/>
          <w:szCs w:val="21"/>
        </w:rPr>
      </w:pPr>
      <w:r>
        <w:rPr>
          <w:rFonts w:hint="eastAsia" w:ascii="宋体" w:hAnsi="宋体" w:cs="宋体"/>
          <w:b/>
          <w:sz w:val="21"/>
          <w:szCs w:val="21"/>
        </w:rPr>
        <w:t>（二）项目实施团队</w:t>
      </w:r>
    </w:p>
    <w:p>
      <w:pPr>
        <w:spacing w:line="360" w:lineRule="auto"/>
        <w:ind w:firstLine="420" w:firstLineChars="200"/>
        <w:rPr>
          <w:rFonts w:ascii="宋体" w:hAnsi="宋体" w:cs="宋体"/>
          <w:sz w:val="21"/>
          <w:szCs w:val="21"/>
        </w:rPr>
      </w:pPr>
      <w:r>
        <w:rPr>
          <w:rFonts w:hint="eastAsia" w:ascii="宋体" w:hAnsi="宋体" w:cs="宋体"/>
          <w:sz w:val="21"/>
          <w:szCs w:val="21"/>
        </w:rPr>
        <w:t>投标人应为本项目实施配备专门的项目负责人和不少于5人的技术人员，负责云资源部署调试、安全防护部署，项目负责人和技术人员应具备2年以上云资源实施或维护工作经验，项目负责人应具有信息系统项目管理师（高级）且具有5年以上（含）类似工作经验，技术人员应具有CISP或CISSP资质证书，团队所有人员需提供人员简历或劳动合同等劳动关系证明材料。</w:t>
      </w:r>
    </w:p>
    <w:p>
      <w:pPr>
        <w:spacing w:line="360" w:lineRule="auto"/>
        <w:ind w:firstLine="465"/>
        <w:rPr>
          <w:rFonts w:ascii="宋体" w:hAnsi="宋体" w:cs="宋体"/>
          <w:b/>
          <w:sz w:val="21"/>
          <w:szCs w:val="21"/>
        </w:rPr>
      </w:pPr>
      <w:r>
        <w:rPr>
          <w:rFonts w:hint="eastAsia" w:ascii="宋体" w:hAnsi="宋体" w:cs="宋体"/>
          <w:b/>
          <w:sz w:val="21"/>
          <w:szCs w:val="21"/>
        </w:rPr>
        <w:t>（三）培训</w:t>
      </w:r>
    </w:p>
    <w:p>
      <w:pPr>
        <w:spacing w:line="360" w:lineRule="auto"/>
        <w:ind w:firstLine="540"/>
        <w:rPr>
          <w:rFonts w:ascii="宋体" w:hAnsi="宋体" w:cs="宋体"/>
          <w:sz w:val="21"/>
          <w:szCs w:val="21"/>
        </w:rPr>
      </w:pPr>
      <w:r>
        <w:rPr>
          <w:rFonts w:hint="eastAsia" w:ascii="宋体" w:hAnsi="宋体" w:cs="宋体"/>
          <w:sz w:val="21"/>
          <w:szCs w:val="21"/>
        </w:rPr>
        <w:t>投标人应提供详细的培训方案，主要内容包括培训计划、培训目标、培训内容、授课人员等，通过培训使用人员能够了解本项目政务云架构、运维方法、防护方案、政务云监管平台及新媒体集团播出信号监测软件使用方法，每年至少培训1 次。</w:t>
      </w:r>
    </w:p>
    <w:p>
      <w:pPr>
        <w:spacing w:line="360" w:lineRule="auto"/>
        <w:ind w:firstLine="465"/>
        <w:rPr>
          <w:rFonts w:ascii="宋体" w:hAnsi="宋体" w:cs="宋体"/>
          <w:b/>
          <w:sz w:val="21"/>
          <w:szCs w:val="21"/>
        </w:rPr>
      </w:pPr>
      <w:r>
        <w:rPr>
          <w:rFonts w:hint="eastAsia" w:ascii="宋体" w:hAnsi="宋体" w:cs="宋体"/>
          <w:b/>
          <w:sz w:val="21"/>
          <w:szCs w:val="21"/>
        </w:rPr>
        <w:t>（四）租用期内服务</w:t>
      </w:r>
    </w:p>
    <w:p>
      <w:pPr>
        <w:spacing w:line="360" w:lineRule="auto"/>
        <w:ind w:firstLine="465"/>
        <w:rPr>
          <w:rFonts w:ascii="宋体" w:hAnsi="宋体" w:cs="宋体"/>
          <w:sz w:val="21"/>
          <w:szCs w:val="21"/>
        </w:rPr>
      </w:pPr>
      <w:r>
        <w:rPr>
          <w:rFonts w:hint="eastAsia" w:ascii="宋体" w:hAnsi="宋体" w:cs="宋体"/>
          <w:sz w:val="21"/>
          <w:szCs w:val="21"/>
        </w:rPr>
        <w:t>投标人应提供本项目租用期内的详细服务方案，应包括运行维护、维护团队、应急处置、现场技术支持等内容。</w:t>
      </w:r>
    </w:p>
    <w:p>
      <w:pPr>
        <w:spacing w:line="360" w:lineRule="auto"/>
        <w:ind w:firstLine="465"/>
        <w:rPr>
          <w:rFonts w:ascii="宋体" w:hAnsi="宋体" w:cs="宋体"/>
          <w:sz w:val="21"/>
          <w:szCs w:val="21"/>
        </w:rPr>
      </w:pPr>
      <w:r>
        <w:rPr>
          <w:rFonts w:hint="eastAsia" w:ascii="宋体" w:hAnsi="宋体" w:cs="宋体"/>
          <w:sz w:val="21"/>
          <w:szCs w:val="21"/>
        </w:rPr>
        <w:t>投标人应提供7×24热线人工值守以及响应电话，7×24全天候技术支持响应，当设备出现故障时，采购人在任何时候可以得到及时响应和故障及时解决。</w:t>
      </w:r>
    </w:p>
    <w:p>
      <w:pPr>
        <w:spacing w:line="360" w:lineRule="auto"/>
        <w:ind w:firstLine="465"/>
        <w:rPr>
          <w:rFonts w:ascii="宋体" w:hAnsi="宋体" w:cs="宋体"/>
          <w:b/>
          <w:sz w:val="21"/>
          <w:szCs w:val="21"/>
        </w:rPr>
      </w:pPr>
      <w:r>
        <w:rPr>
          <w:rFonts w:hint="eastAsia" w:ascii="宋体" w:hAnsi="宋体" w:cs="宋体"/>
          <w:b/>
          <w:sz w:val="21"/>
          <w:szCs w:val="21"/>
        </w:rPr>
        <w:t>1. 运行维护</w:t>
      </w:r>
    </w:p>
    <w:p>
      <w:pPr>
        <w:spacing w:line="360" w:lineRule="auto"/>
        <w:ind w:firstLine="540"/>
        <w:rPr>
          <w:rFonts w:ascii="宋体" w:hAnsi="宋体" w:cs="宋体"/>
          <w:sz w:val="21"/>
          <w:szCs w:val="21"/>
        </w:rPr>
      </w:pPr>
      <w:r>
        <w:rPr>
          <w:rFonts w:hint="eastAsia" w:ascii="宋体" w:hAnsi="宋体" w:cs="宋体"/>
          <w:sz w:val="21"/>
          <w:szCs w:val="21"/>
        </w:rPr>
        <w:t>投标人应提供运行维护方案，内容应详细具体、可行且具有针对性，租用期内应当按照采购人的要求，定期进行巡检，保障正常运行使用。</w:t>
      </w:r>
    </w:p>
    <w:p>
      <w:pPr>
        <w:spacing w:line="360" w:lineRule="auto"/>
        <w:ind w:firstLine="540"/>
        <w:rPr>
          <w:rFonts w:ascii="宋体" w:hAnsi="宋体" w:cs="宋体"/>
          <w:sz w:val="21"/>
          <w:szCs w:val="21"/>
        </w:rPr>
      </w:pPr>
      <w:r>
        <w:rPr>
          <w:rFonts w:hint="eastAsia" w:ascii="宋体" w:hAnsi="宋体" w:cs="宋体"/>
          <w:sz w:val="21"/>
          <w:szCs w:val="21"/>
        </w:rPr>
        <w:t>投标人应提供可以独立部署的自动化运维工具和自动化运维平台，自动化运维工具支持自动化巡检、云平台补丁自动分发、批量远程脚本执行等功能；提供的自动化运维平台支持自动告警、运维即时通讯工具、告警升级、工单与故障报告自动分发和认领等功能（提供所投产品此项要求的系统截图或其他有效证明文件）。</w:t>
      </w:r>
    </w:p>
    <w:p>
      <w:pPr>
        <w:spacing w:line="360" w:lineRule="auto"/>
        <w:ind w:firstLine="540"/>
        <w:rPr>
          <w:rFonts w:ascii="宋体" w:hAnsi="宋体" w:cs="宋体"/>
          <w:sz w:val="21"/>
          <w:szCs w:val="21"/>
        </w:rPr>
      </w:pPr>
      <w:r>
        <w:rPr>
          <w:rFonts w:hint="eastAsia" w:ascii="宋体" w:hAnsi="宋体" w:cs="宋体"/>
          <w:sz w:val="21"/>
          <w:szCs w:val="21"/>
        </w:rPr>
        <w:t>投标人应保证业务应用系统的支撑环境，包括但不限于服务器、网络、存储等相关物理环境能满足安全三级等保要求，依据招标需求向采购人提供完整、可行的安全防护设计方案。</w:t>
      </w:r>
    </w:p>
    <w:p>
      <w:pPr>
        <w:spacing w:line="360" w:lineRule="auto"/>
        <w:rPr>
          <w:rFonts w:ascii="宋体" w:hAnsi="宋体" w:cs="宋体"/>
          <w:sz w:val="21"/>
          <w:szCs w:val="21"/>
        </w:rPr>
      </w:pPr>
      <w:r>
        <w:rPr>
          <w:rFonts w:hint="eastAsia" w:ascii="宋体" w:hAnsi="宋体" w:cs="宋体"/>
          <w:sz w:val="21"/>
          <w:szCs w:val="21"/>
        </w:rPr>
        <w:t xml:space="preserve">    （1）巡检维护</w:t>
      </w:r>
    </w:p>
    <w:p>
      <w:pPr>
        <w:spacing w:line="360" w:lineRule="auto"/>
        <w:ind w:firstLine="480"/>
        <w:rPr>
          <w:rFonts w:ascii="宋体" w:hAnsi="宋体" w:cs="宋体"/>
          <w:sz w:val="21"/>
          <w:szCs w:val="21"/>
        </w:rPr>
      </w:pPr>
      <w:r>
        <w:rPr>
          <w:rFonts w:hint="eastAsia" w:ascii="宋体" w:hAnsi="宋体" w:cs="宋体"/>
          <w:sz w:val="21"/>
          <w:szCs w:val="21"/>
        </w:rPr>
        <w:t>投标人需利用监控系统或人工对硬件设备及应用系统的运行情况进行7*24小时的不间断巡检监控，及时发现安全隐患，通知相关人员及时处理，并形成监控报告。</w:t>
      </w:r>
    </w:p>
    <w:p>
      <w:pPr>
        <w:spacing w:line="360" w:lineRule="auto"/>
        <w:rPr>
          <w:rFonts w:ascii="宋体" w:hAnsi="宋体" w:cs="宋体"/>
          <w:sz w:val="21"/>
          <w:szCs w:val="21"/>
        </w:rPr>
      </w:pPr>
      <w:r>
        <w:rPr>
          <w:rFonts w:hint="eastAsia" w:ascii="宋体" w:hAnsi="宋体" w:cs="宋体"/>
          <w:sz w:val="21"/>
          <w:szCs w:val="21"/>
        </w:rPr>
        <w:t xml:space="preserve">    （2）巡检维护报告</w:t>
      </w:r>
    </w:p>
    <w:p>
      <w:pPr>
        <w:spacing w:line="360" w:lineRule="auto"/>
        <w:ind w:firstLine="540"/>
        <w:rPr>
          <w:rFonts w:ascii="宋体" w:hAnsi="宋体" w:cs="宋体"/>
          <w:sz w:val="21"/>
          <w:szCs w:val="21"/>
        </w:rPr>
      </w:pPr>
      <w:r>
        <w:rPr>
          <w:rFonts w:hint="eastAsia" w:ascii="宋体" w:hAnsi="宋体" w:cs="宋体"/>
          <w:sz w:val="21"/>
          <w:szCs w:val="21"/>
        </w:rPr>
        <w:t>巡检维护报告包括：巡检内容概述、云资源主要指标及运行状态、故障现象及处理、软件更新情况、巡检日期、北京新媒体集团播出信号监测软件运行状态等内容。</w:t>
      </w:r>
    </w:p>
    <w:p>
      <w:pPr>
        <w:spacing w:line="360" w:lineRule="auto"/>
        <w:ind w:firstLine="540"/>
        <w:rPr>
          <w:rFonts w:ascii="宋体" w:hAnsi="宋体" w:cs="宋体"/>
          <w:sz w:val="21"/>
          <w:szCs w:val="21"/>
        </w:rPr>
      </w:pPr>
      <w:r>
        <w:rPr>
          <w:rFonts w:hint="eastAsia" w:ascii="宋体" w:hAnsi="宋体" w:cs="宋体"/>
          <w:sz w:val="21"/>
          <w:szCs w:val="21"/>
        </w:rPr>
        <w:t>每次巡检维护工作完成，应向采购人提交巡检维护报告</w:t>
      </w:r>
    </w:p>
    <w:p>
      <w:pPr>
        <w:spacing w:line="360" w:lineRule="auto"/>
        <w:ind w:firstLine="540"/>
        <w:rPr>
          <w:rFonts w:ascii="宋体" w:hAnsi="宋体" w:cs="宋体"/>
          <w:b/>
          <w:sz w:val="21"/>
          <w:szCs w:val="21"/>
        </w:rPr>
      </w:pPr>
      <w:r>
        <w:rPr>
          <w:rFonts w:hint="eastAsia" w:ascii="宋体" w:hAnsi="宋体" w:cs="宋体"/>
          <w:b/>
          <w:sz w:val="21"/>
          <w:szCs w:val="21"/>
        </w:rPr>
        <w:t>2.维护团队</w:t>
      </w:r>
    </w:p>
    <w:p>
      <w:pPr>
        <w:spacing w:line="360" w:lineRule="auto"/>
        <w:ind w:firstLine="540"/>
        <w:rPr>
          <w:rFonts w:ascii="宋体" w:hAnsi="宋体" w:cs="宋体"/>
          <w:sz w:val="21"/>
          <w:szCs w:val="21"/>
        </w:rPr>
      </w:pPr>
      <w:r>
        <w:rPr>
          <w:rFonts w:hint="eastAsia" w:ascii="宋体" w:hAnsi="宋体" w:cs="宋体"/>
          <w:sz w:val="21"/>
          <w:szCs w:val="21"/>
        </w:rPr>
        <w:t>本项目租用期内，投标人应提供专业技术能力较强的专业维护团队，专门负责计算、存储、网络安全等资源运维保障工作，应明确维护团队成员职责任务。投标人应承诺质量保证期内维护团队成员相对稳定，人员数量不少于3人，且应具备2年以上云资源实施或运维工作经验，团队成员应具有CISP或CISSP资质证书。</w:t>
      </w:r>
    </w:p>
    <w:p>
      <w:pPr>
        <w:spacing w:line="360" w:lineRule="auto"/>
        <w:ind w:firstLine="540"/>
        <w:rPr>
          <w:rFonts w:ascii="宋体" w:hAnsi="宋体" w:cs="宋体"/>
          <w:sz w:val="21"/>
          <w:szCs w:val="21"/>
        </w:rPr>
      </w:pPr>
      <w:r>
        <w:rPr>
          <w:rFonts w:hint="eastAsia" w:ascii="宋体" w:hAnsi="宋体" w:cs="宋体"/>
          <w:b/>
          <w:sz w:val="21"/>
          <w:szCs w:val="21"/>
        </w:rPr>
        <w:t>3. 应急处置</w:t>
      </w:r>
    </w:p>
    <w:p>
      <w:pPr>
        <w:spacing w:line="360" w:lineRule="auto"/>
        <w:ind w:firstLine="540"/>
        <w:rPr>
          <w:rFonts w:ascii="宋体" w:hAnsi="宋体" w:cs="宋体"/>
          <w:sz w:val="21"/>
          <w:szCs w:val="21"/>
        </w:rPr>
      </w:pPr>
      <w:r>
        <w:rPr>
          <w:rFonts w:hint="eastAsia" w:ascii="宋体" w:hAnsi="宋体" w:cs="宋体"/>
          <w:sz w:val="21"/>
          <w:szCs w:val="21"/>
        </w:rPr>
        <w:t>投标人应提供详细具体可行且具有针对性的《应急预案》，确保设备突发故障得到及时有效处置，保障云资源安全稳定运行。</w:t>
      </w:r>
    </w:p>
    <w:p>
      <w:pPr>
        <w:spacing w:line="360" w:lineRule="auto"/>
        <w:ind w:firstLine="540"/>
        <w:rPr>
          <w:rFonts w:ascii="宋体" w:hAnsi="宋体" w:cs="宋体"/>
          <w:sz w:val="21"/>
          <w:szCs w:val="21"/>
        </w:rPr>
      </w:pPr>
      <w:r>
        <w:rPr>
          <w:rFonts w:hint="eastAsia" w:ascii="宋体" w:hAnsi="宋体" w:cs="宋体"/>
          <w:sz w:val="21"/>
          <w:szCs w:val="21"/>
        </w:rPr>
        <w:t>《应急预案》包括应急处置团队、成员职责分工及联系电话、应急处置流程、抢修时限等内容。</w:t>
      </w:r>
    </w:p>
    <w:p>
      <w:pPr>
        <w:spacing w:line="360" w:lineRule="auto"/>
        <w:ind w:firstLine="540"/>
        <w:rPr>
          <w:rFonts w:ascii="宋体" w:hAnsi="宋体" w:cs="宋体"/>
          <w:sz w:val="21"/>
          <w:szCs w:val="21"/>
        </w:rPr>
      </w:pPr>
      <w:r>
        <w:rPr>
          <w:rFonts w:hint="eastAsia" w:ascii="宋体" w:hAnsi="宋体" w:cs="宋体"/>
          <w:sz w:val="21"/>
          <w:szCs w:val="21"/>
        </w:rPr>
        <w:t>投标人应提供7×24小时专人电话支持服务，设备出现故障时，30分钟内响应，一般故障2小时内解决，重大故障4小时内解决；系统发生宕机问题时，投标人应在5分钟内响应。设备故障处理完成后，应向采购人提交应急处置情况报告。</w:t>
      </w:r>
    </w:p>
    <w:p>
      <w:pPr>
        <w:spacing w:line="360" w:lineRule="auto"/>
        <w:ind w:firstLine="465"/>
        <w:rPr>
          <w:rFonts w:ascii="宋体" w:hAnsi="宋体" w:cs="宋体"/>
          <w:b/>
          <w:sz w:val="21"/>
          <w:szCs w:val="21"/>
        </w:rPr>
      </w:pPr>
      <w:r>
        <w:rPr>
          <w:rFonts w:hint="eastAsia" w:ascii="宋体" w:hAnsi="宋体" w:cs="宋体"/>
          <w:b/>
          <w:sz w:val="21"/>
          <w:szCs w:val="21"/>
        </w:rPr>
        <w:t>4. 现场技术支持</w:t>
      </w:r>
    </w:p>
    <w:p>
      <w:pPr>
        <w:spacing w:line="360" w:lineRule="auto"/>
        <w:ind w:firstLine="540"/>
        <w:rPr>
          <w:rFonts w:ascii="宋体" w:hAnsi="宋体" w:cs="宋体"/>
          <w:sz w:val="21"/>
          <w:szCs w:val="21"/>
        </w:rPr>
      </w:pPr>
      <w:r>
        <w:rPr>
          <w:rFonts w:hint="eastAsia" w:ascii="宋体" w:hAnsi="宋体" w:cs="宋体"/>
          <w:sz w:val="21"/>
          <w:szCs w:val="21"/>
        </w:rPr>
        <w:t>（1）广播电视安全播出重要保障期（元旦、春节、两会、十一等），按照采购人要求，投标人负责安排1名技术人员现场值守服务，处置突发故障，保障系统稳定运行。</w:t>
      </w:r>
    </w:p>
    <w:p>
      <w:pPr>
        <w:spacing w:line="360" w:lineRule="auto"/>
        <w:ind w:firstLine="540"/>
        <w:rPr>
          <w:rFonts w:ascii="宋体" w:hAnsi="宋体" w:cs="宋体"/>
          <w:sz w:val="21"/>
          <w:szCs w:val="21"/>
        </w:rPr>
      </w:pPr>
      <w:r>
        <w:rPr>
          <w:rFonts w:hint="eastAsia" w:ascii="宋体" w:hAnsi="宋体" w:cs="宋体"/>
          <w:sz w:val="21"/>
          <w:szCs w:val="21"/>
        </w:rPr>
        <w:t>（2）技术人员到现场提供技术支持服务的交通、食宿等费用由中标人承担，且技术人员应遵守采购人现场的各项规章制度和安全操作规程，并服从采购人管理。</w:t>
      </w:r>
    </w:p>
    <w:p>
      <w:pPr>
        <w:spacing w:line="360" w:lineRule="auto"/>
        <w:ind w:firstLine="540"/>
        <w:rPr>
          <w:rFonts w:ascii="宋体" w:hAnsi="宋体" w:cs="宋体"/>
          <w:sz w:val="21"/>
          <w:szCs w:val="21"/>
        </w:rPr>
      </w:pPr>
      <w:r>
        <w:rPr>
          <w:rFonts w:hint="eastAsia" w:ascii="宋体" w:hAnsi="宋体" w:cs="宋体"/>
          <w:sz w:val="21"/>
          <w:szCs w:val="21"/>
        </w:rPr>
        <w:t>（3）如遇严重软件故障、功能优化等问题，按照招标方要求，立即增派技术人员来现场支援解决。</w:t>
      </w:r>
    </w:p>
    <w:p>
      <w:pPr>
        <w:spacing w:line="360" w:lineRule="auto"/>
        <w:ind w:firstLine="465"/>
        <w:rPr>
          <w:rFonts w:ascii="宋体" w:hAnsi="宋体" w:cs="宋体"/>
          <w:b/>
          <w:sz w:val="21"/>
          <w:szCs w:val="21"/>
        </w:rPr>
      </w:pPr>
      <w:r>
        <w:rPr>
          <w:rFonts w:hint="eastAsia" w:ascii="宋体" w:hAnsi="宋体" w:cs="宋体"/>
          <w:b/>
          <w:sz w:val="21"/>
          <w:szCs w:val="21"/>
        </w:rPr>
        <w:t>5. 备品备件</w:t>
      </w:r>
    </w:p>
    <w:p>
      <w:pPr>
        <w:spacing w:line="360" w:lineRule="auto"/>
        <w:ind w:firstLine="420" w:firstLineChars="200"/>
        <w:rPr>
          <w:rFonts w:ascii="宋体" w:hAnsi="宋体" w:cs="宋体"/>
          <w:sz w:val="21"/>
          <w:szCs w:val="21"/>
        </w:rPr>
      </w:pPr>
      <w:r>
        <w:rPr>
          <w:rFonts w:hint="eastAsia" w:ascii="宋体" w:hAnsi="宋体" w:cs="宋体"/>
          <w:sz w:val="21"/>
          <w:szCs w:val="21"/>
          <w:lang w:val="en-GB"/>
        </w:rPr>
        <w:t>投标人应备有充足的</w:t>
      </w:r>
      <w:r>
        <w:rPr>
          <w:rFonts w:hint="eastAsia" w:ascii="宋体" w:hAnsi="宋体" w:cs="宋体"/>
          <w:sz w:val="21"/>
          <w:szCs w:val="21"/>
        </w:rPr>
        <w:t>备品</w:t>
      </w:r>
      <w:r>
        <w:rPr>
          <w:rFonts w:hint="eastAsia" w:ascii="宋体" w:hAnsi="宋体" w:cs="宋体"/>
          <w:sz w:val="21"/>
          <w:szCs w:val="21"/>
          <w:lang w:val="en-GB"/>
        </w:rPr>
        <w:t>备件，能为采购人提供7×24小时优质、迅速、及时的</w:t>
      </w:r>
      <w:r>
        <w:rPr>
          <w:rFonts w:hint="eastAsia" w:ascii="宋体" w:hAnsi="宋体" w:cs="宋体"/>
          <w:sz w:val="21"/>
          <w:szCs w:val="21"/>
        </w:rPr>
        <w:t>备品</w:t>
      </w:r>
      <w:r>
        <w:rPr>
          <w:rFonts w:hint="eastAsia" w:ascii="宋体" w:hAnsi="宋体" w:cs="宋体"/>
          <w:sz w:val="21"/>
          <w:szCs w:val="21"/>
          <w:lang w:val="en-GB"/>
        </w:rPr>
        <w:t>备件技术支持，不能由于备品备件不足而影响采购人正常操作使用和业务开展。</w:t>
      </w:r>
    </w:p>
    <w:p>
      <w:pPr>
        <w:spacing w:line="360" w:lineRule="auto"/>
        <w:ind w:firstLine="420" w:firstLineChars="200"/>
        <w:rPr>
          <w:rFonts w:ascii="宋体" w:hAnsi="宋体" w:cs="宋体"/>
          <w:sz w:val="21"/>
          <w:szCs w:val="21"/>
        </w:rPr>
      </w:pPr>
      <w:r>
        <w:rPr>
          <w:rFonts w:hint="eastAsia" w:ascii="宋体" w:hAnsi="宋体" w:cs="宋体"/>
          <w:sz w:val="21"/>
          <w:szCs w:val="21"/>
        </w:rPr>
        <w:t>投标人应提供详细的备品备件清单。</w:t>
      </w:r>
    </w:p>
    <w:p>
      <w:pPr>
        <w:spacing w:line="360" w:lineRule="auto"/>
        <w:ind w:firstLine="420" w:firstLineChars="200"/>
        <w:rPr>
          <w:rFonts w:ascii="宋体" w:hAnsi="宋体" w:cs="宋体"/>
          <w:sz w:val="21"/>
          <w:szCs w:val="21"/>
        </w:rPr>
      </w:pPr>
    </w:p>
    <w:p>
      <w:pPr>
        <w:spacing w:line="360" w:lineRule="auto"/>
        <w:ind w:firstLine="422" w:firstLineChars="200"/>
        <w:rPr>
          <w:rFonts w:ascii="宋体" w:hAnsi="宋体" w:cs="宋体"/>
          <w:b/>
          <w:sz w:val="21"/>
          <w:szCs w:val="21"/>
        </w:rPr>
      </w:pPr>
      <w:r>
        <w:rPr>
          <w:rFonts w:hint="eastAsia" w:ascii="宋体" w:hAnsi="宋体" w:cs="宋体"/>
          <w:b/>
          <w:sz w:val="21"/>
          <w:szCs w:val="21"/>
        </w:rPr>
        <w:t>四、服务时间地点</w:t>
      </w:r>
    </w:p>
    <w:p>
      <w:pPr>
        <w:spacing w:line="360" w:lineRule="auto"/>
        <w:ind w:firstLine="420" w:firstLineChars="200"/>
        <w:rPr>
          <w:rFonts w:ascii="宋体" w:hAnsi="宋体" w:cs="宋体"/>
          <w:sz w:val="21"/>
          <w:szCs w:val="21"/>
        </w:rPr>
      </w:pPr>
      <w:r>
        <w:rPr>
          <w:rFonts w:hint="eastAsia" w:ascii="宋体" w:hAnsi="宋体" w:cs="宋体"/>
          <w:sz w:val="21"/>
          <w:szCs w:val="21"/>
        </w:rPr>
        <w:t>服务时间：2023年7月1日前完成云资源部署调试工作。</w:t>
      </w:r>
    </w:p>
    <w:p>
      <w:pPr>
        <w:spacing w:line="360" w:lineRule="auto"/>
        <w:ind w:firstLine="420" w:firstLineChars="200"/>
        <w:rPr>
          <w:rFonts w:ascii="宋体" w:hAnsi="宋体" w:cs="宋体"/>
          <w:sz w:val="21"/>
          <w:szCs w:val="21"/>
        </w:rPr>
      </w:pPr>
      <w:r>
        <w:rPr>
          <w:rFonts w:hint="eastAsia" w:ascii="宋体" w:hAnsi="宋体" w:cs="宋体"/>
          <w:sz w:val="21"/>
          <w:szCs w:val="21"/>
        </w:rPr>
        <w:t>服务地点：六里桥北京市政务云机房。</w:t>
      </w:r>
    </w:p>
    <w:p>
      <w:pPr>
        <w:spacing w:line="360" w:lineRule="auto"/>
        <w:ind w:firstLine="420" w:firstLineChars="200"/>
        <w:rPr>
          <w:rFonts w:ascii="宋体" w:hAnsi="宋体" w:cs="宋体"/>
          <w:sz w:val="21"/>
          <w:szCs w:val="21"/>
        </w:rPr>
      </w:pPr>
    </w:p>
    <w:p>
      <w:pPr>
        <w:spacing w:line="360" w:lineRule="auto"/>
        <w:ind w:firstLine="422" w:firstLineChars="200"/>
        <w:rPr>
          <w:rFonts w:ascii="宋体" w:hAnsi="宋体" w:cs="宋体"/>
          <w:b/>
          <w:sz w:val="21"/>
          <w:szCs w:val="21"/>
        </w:rPr>
      </w:pPr>
      <w:r>
        <w:rPr>
          <w:rFonts w:hint="eastAsia" w:ascii="宋体" w:hAnsi="宋体" w:cs="宋体"/>
          <w:b/>
          <w:sz w:val="21"/>
          <w:szCs w:val="21"/>
        </w:rPr>
        <w:t>五、服务期限</w:t>
      </w:r>
    </w:p>
    <w:p>
      <w:pPr>
        <w:spacing w:line="360" w:lineRule="auto"/>
        <w:ind w:firstLine="420" w:firstLineChars="200"/>
        <w:rPr>
          <w:rFonts w:ascii="宋体" w:hAnsi="宋体" w:cs="宋体"/>
          <w:b/>
          <w:color w:val="FF0000"/>
          <w:sz w:val="21"/>
          <w:szCs w:val="21"/>
        </w:rPr>
      </w:pPr>
      <w:r>
        <w:rPr>
          <w:rFonts w:hint="eastAsia" w:ascii="宋体" w:hAnsi="宋体" w:cs="宋体"/>
          <w:sz w:val="21"/>
          <w:szCs w:val="21"/>
        </w:rPr>
        <w:t>服务期1年，2023年7月1日至2024年6月30日。</w:t>
      </w:r>
    </w:p>
    <w:p>
      <w:pPr>
        <w:spacing w:line="360" w:lineRule="auto"/>
        <w:ind w:firstLine="422" w:firstLineChars="200"/>
        <w:rPr>
          <w:rFonts w:ascii="宋体" w:hAnsi="宋体" w:cs="宋体"/>
          <w:b/>
          <w:color w:val="FF0000"/>
          <w:sz w:val="21"/>
          <w:szCs w:val="21"/>
        </w:rPr>
      </w:pPr>
    </w:p>
    <w:p>
      <w:pPr>
        <w:spacing w:line="360" w:lineRule="auto"/>
        <w:ind w:firstLine="422" w:firstLineChars="200"/>
        <w:rPr>
          <w:rFonts w:ascii="宋体" w:hAnsi="宋体" w:cs="宋体"/>
          <w:b/>
          <w:sz w:val="21"/>
          <w:szCs w:val="21"/>
        </w:rPr>
      </w:pPr>
      <w:r>
        <w:rPr>
          <w:rFonts w:hint="eastAsia" w:ascii="宋体" w:hAnsi="宋体" w:cs="宋体"/>
          <w:b/>
          <w:sz w:val="21"/>
          <w:szCs w:val="21"/>
        </w:rPr>
        <w:t>六、质量保证</w:t>
      </w:r>
    </w:p>
    <w:p>
      <w:pPr>
        <w:spacing w:line="360" w:lineRule="auto"/>
        <w:ind w:firstLine="420" w:firstLineChars="200"/>
        <w:rPr>
          <w:rFonts w:ascii="宋体" w:hAnsi="宋体" w:cs="宋体"/>
          <w:sz w:val="21"/>
          <w:szCs w:val="21"/>
          <w:lang w:val="en-GB"/>
        </w:rPr>
      </w:pPr>
      <w:r>
        <w:rPr>
          <w:rFonts w:hint="eastAsia" w:ascii="宋体" w:hAnsi="宋体" w:cs="宋体"/>
          <w:sz w:val="21"/>
          <w:szCs w:val="21"/>
          <w:lang w:val="en-GB"/>
        </w:rPr>
        <w:t>投标人应承诺云资源、北京</w:t>
      </w:r>
      <w:r>
        <w:rPr>
          <w:rFonts w:hint="eastAsia" w:ascii="宋体" w:hAnsi="宋体" w:cs="宋体"/>
          <w:sz w:val="21"/>
          <w:szCs w:val="21"/>
        </w:rPr>
        <w:t>新媒体集团播出信号监测软件</w:t>
      </w:r>
      <w:r>
        <w:rPr>
          <w:rFonts w:hint="eastAsia" w:ascii="宋体" w:hAnsi="宋体" w:cs="宋体"/>
          <w:sz w:val="21"/>
          <w:szCs w:val="21"/>
          <w:lang w:val="en-GB"/>
        </w:rPr>
        <w:t>符合招标文件要求及本投标书技术描述中规定的质量、功能和性能要求。</w:t>
      </w:r>
    </w:p>
    <w:p>
      <w:pPr>
        <w:spacing w:line="360" w:lineRule="auto"/>
        <w:ind w:firstLine="420" w:firstLineChars="200"/>
        <w:rPr>
          <w:rFonts w:ascii="宋体" w:hAnsi="宋体" w:cs="宋体"/>
          <w:sz w:val="21"/>
          <w:szCs w:val="21"/>
        </w:rPr>
      </w:pPr>
      <w:r>
        <w:rPr>
          <w:rFonts w:hint="eastAsia" w:ascii="宋体" w:hAnsi="宋体" w:cs="宋体"/>
          <w:sz w:val="21"/>
          <w:szCs w:val="21"/>
        </w:rPr>
        <w:t>本项目质量保证期同租用期。</w:t>
      </w:r>
    </w:p>
    <w:p>
      <w:pPr>
        <w:spacing w:line="360" w:lineRule="auto"/>
        <w:rPr>
          <w:rFonts w:ascii="宋体" w:hAnsi="宋体" w:cs="宋体"/>
          <w:sz w:val="21"/>
          <w:szCs w:val="21"/>
          <w:lang w:val="en-GB"/>
        </w:rPr>
      </w:pPr>
    </w:p>
    <w:p>
      <w:pPr>
        <w:spacing w:line="360" w:lineRule="auto"/>
        <w:ind w:firstLine="422" w:firstLineChars="200"/>
        <w:rPr>
          <w:rFonts w:ascii="宋体" w:hAnsi="宋体" w:cs="宋体"/>
          <w:b/>
          <w:sz w:val="21"/>
          <w:szCs w:val="21"/>
        </w:rPr>
      </w:pPr>
      <w:r>
        <w:rPr>
          <w:rFonts w:hint="eastAsia" w:ascii="宋体" w:hAnsi="宋体" w:cs="宋体"/>
          <w:b/>
          <w:sz w:val="21"/>
          <w:szCs w:val="21"/>
        </w:rPr>
        <w:t>七、廉政要求</w:t>
      </w:r>
    </w:p>
    <w:p>
      <w:pPr>
        <w:spacing w:line="360" w:lineRule="auto"/>
        <w:ind w:firstLine="480"/>
        <w:rPr>
          <w:rFonts w:ascii="宋体" w:hAnsi="宋体" w:cs="宋体"/>
          <w:sz w:val="21"/>
          <w:szCs w:val="21"/>
        </w:rPr>
      </w:pPr>
      <w:r>
        <w:rPr>
          <w:rFonts w:hint="eastAsia" w:ascii="宋体" w:hAnsi="宋体" w:cs="宋体"/>
          <w:sz w:val="21"/>
          <w:szCs w:val="21"/>
        </w:rPr>
        <w:t>投标人和采购人承诺共同加强廉洁自律、反对商业贿赂。</w:t>
      </w:r>
    </w:p>
    <w:p>
      <w:pPr>
        <w:numPr>
          <w:ilvl w:val="0"/>
          <w:numId w:val="22"/>
        </w:numPr>
        <w:tabs>
          <w:tab w:val="left" w:pos="420"/>
        </w:tabs>
        <w:adjustRightInd/>
        <w:spacing w:line="360" w:lineRule="auto"/>
        <w:jc w:val="both"/>
        <w:textAlignment w:val="auto"/>
        <w:rPr>
          <w:rFonts w:ascii="宋体" w:hAnsi="宋体" w:cs="宋体"/>
          <w:sz w:val="21"/>
          <w:szCs w:val="21"/>
        </w:rPr>
      </w:pPr>
      <w:r>
        <w:rPr>
          <w:rFonts w:hint="eastAsia" w:ascii="宋体" w:hAnsi="宋体" w:cs="宋体"/>
          <w:sz w:val="21"/>
          <w:szCs w:val="21"/>
        </w:rPr>
        <w:t>投标人不向采购人工作人员行贿或馈赠礼金、有价证券、贵重礼品；</w:t>
      </w:r>
    </w:p>
    <w:p>
      <w:pPr>
        <w:numPr>
          <w:ilvl w:val="0"/>
          <w:numId w:val="22"/>
        </w:numPr>
        <w:tabs>
          <w:tab w:val="left" w:pos="420"/>
        </w:tabs>
        <w:adjustRightInd/>
        <w:spacing w:line="360" w:lineRule="auto"/>
        <w:jc w:val="both"/>
        <w:textAlignment w:val="auto"/>
        <w:rPr>
          <w:rFonts w:ascii="宋体" w:hAnsi="宋体" w:cs="宋体"/>
          <w:sz w:val="21"/>
          <w:szCs w:val="21"/>
        </w:rPr>
      </w:pPr>
      <w:r>
        <w:rPr>
          <w:rFonts w:hint="eastAsia" w:ascii="宋体" w:hAnsi="宋体" w:cs="宋体"/>
          <w:sz w:val="21"/>
          <w:szCs w:val="21"/>
        </w:rPr>
        <w:t>投标人不报销应由采购人或工作人员支付的费用；</w:t>
      </w:r>
    </w:p>
    <w:p>
      <w:pPr>
        <w:numPr>
          <w:ilvl w:val="0"/>
          <w:numId w:val="22"/>
        </w:numPr>
        <w:adjustRightInd/>
        <w:spacing w:line="360" w:lineRule="auto"/>
        <w:jc w:val="both"/>
        <w:textAlignment w:val="auto"/>
        <w:rPr>
          <w:rFonts w:ascii="宋体" w:hAnsi="宋体" w:cs="宋体"/>
          <w:b/>
          <w:bCs/>
          <w:sz w:val="21"/>
          <w:szCs w:val="21"/>
          <w:lang w:val="zh-CN"/>
        </w:rPr>
      </w:pPr>
      <w:r>
        <w:rPr>
          <w:rFonts w:hint="eastAsia" w:ascii="宋体" w:hAnsi="宋体" w:cs="宋体"/>
          <w:sz w:val="21"/>
          <w:szCs w:val="21"/>
        </w:rPr>
        <w:t>投标人不向采购人工作人员支付劳务报酬；不安排采购人工作人员参加宴请及娱乐活动。</w:t>
      </w:r>
    </w:p>
    <w:p>
      <w:pPr>
        <w:spacing w:after="120" w:line="360" w:lineRule="auto"/>
        <w:ind w:left="480" w:leftChars="200" w:firstLine="420" w:firstLineChars="200"/>
        <w:rPr>
          <w:rFonts w:ascii="宋体" w:hAnsi="宋体" w:cs="宋体"/>
          <w:sz w:val="21"/>
          <w:szCs w:val="21"/>
          <w:lang w:val="zh-CN"/>
        </w:rPr>
      </w:pPr>
    </w:p>
    <w:p>
      <w:pPr>
        <w:widowControl/>
        <w:spacing w:line="360" w:lineRule="auto"/>
        <w:ind w:firstLine="482" w:firstLineChars="200"/>
        <w:rPr>
          <w:rFonts w:ascii="Times New Roman" w:hAnsi="Times New Roman" w:eastAsia="仿宋"/>
          <w:b/>
          <w:bCs/>
          <w:szCs w:val="24"/>
        </w:rPr>
      </w:pPr>
    </w:p>
    <w:p>
      <w:pPr>
        <w:jc w:val="both"/>
        <w:rPr>
          <w:rFonts w:ascii="宋体" w:hAnsi="宋体"/>
          <w:b/>
          <w:sz w:val="21"/>
          <w:szCs w:val="21"/>
        </w:rPr>
      </w:pPr>
      <w:r>
        <w:rPr>
          <w:rFonts w:ascii="仿宋" w:hAnsi="仿宋" w:eastAsia="仿宋"/>
          <w:bCs/>
          <w:kern w:val="44"/>
          <w:sz w:val="28"/>
          <w:szCs w:val="28"/>
        </w:rPr>
        <w:br w:type="page"/>
      </w:r>
    </w:p>
    <w:p>
      <w:pPr>
        <w:pStyle w:val="2"/>
      </w:pPr>
    </w:p>
    <w:p>
      <w:pPr>
        <w:pStyle w:val="29"/>
        <w:snapToGrid w:val="0"/>
        <w:spacing w:before="0" w:after="0"/>
        <w:ind w:left="0"/>
        <w:rPr>
          <w:rFonts w:ascii="宋体" w:hAnsi="宋体"/>
        </w:rPr>
      </w:pPr>
      <w:bookmarkStart w:id="75" w:name="_Toc13684"/>
      <w:r>
        <w:rPr>
          <w:rFonts w:ascii="宋体" w:hAnsi="宋体"/>
        </w:rPr>
        <w:t xml:space="preserve"> </w:t>
      </w:r>
      <w:bookmarkEnd w:id="73"/>
      <w:r>
        <w:rPr>
          <w:rFonts w:hint="eastAsia" w:ascii="宋体" w:hAnsi="宋体"/>
        </w:rPr>
        <w:t xml:space="preserve"> </w:t>
      </w:r>
      <w:bookmarkEnd w:id="74"/>
      <w:bookmarkEnd w:id="75"/>
      <w:bookmarkStart w:id="76" w:name="_Toc466015314"/>
      <w:r>
        <w:rPr>
          <w:rFonts w:hint="eastAsia" w:ascii="宋体" w:hAnsi="宋体"/>
        </w:rPr>
        <w:t>评标标准和评标方法</w:t>
      </w:r>
      <w:bookmarkEnd w:id="76"/>
    </w:p>
    <w:p>
      <w:pPr>
        <w:pStyle w:val="29"/>
        <w:numPr>
          <w:ilvl w:val="0"/>
          <w:numId w:val="0"/>
        </w:numPr>
        <w:snapToGrid w:val="0"/>
        <w:spacing w:before="0" w:after="0"/>
        <w:ind w:left="288"/>
        <w:jc w:val="left"/>
        <w:rPr>
          <w:rFonts w:ascii="宋体" w:hAnsi="宋体"/>
        </w:rPr>
      </w:pPr>
    </w:p>
    <w:p>
      <w:pPr>
        <w:pStyle w:val="29"/>
        <w:numPr>
          <w:ilvl w:val="0"/>
          <w:numId w:val="0"/>
        </w:numPr>
        <w:snapToGrid w:val="0"/>
        <w:spacing w:before="0" w:after="0"/>
        <w:rPr>
          <w:rFonts w:ascii="宋体" w:hAnsi="宋体"/>
          <w:sz w:val="21"/>
          <w:szCs w:val="21"/>
        </w:rPr>
      </w:pPr>
      <w:r>
        <w:rPr>
          <w:rFonts w:hint="eastAsia" w:cs="微软雅黑"/>
          <w:sz w:val="21"/>
          <w:szCs w:val="21"/>
        </w:rPr>
        <w:t>第一包  广播电视监测监管网络租用</w:t>
      </w:r>
    </w:p>
    <w:p>
      <w:pPr>
        <w:spacing w:line="302" w:lineRule="auto"/>
        <w:rPr>
          <w:rFonts w:ascii="宋体" w:hAnsi="宋体"/>
          <w:sz w:val="21"/>
          <w:szCs w:val="21"/>
        </w:rPr>
      </w:pPr>
      <w:r>
        <w:rPr>
          <w:rFonts w:hint="eastAsia" w:ascii="宋体" w:hAnsi="宋体"/>
          <w:sz w:val="21"/>
          <w:szCs w:val="21"/>
        </w:rPr>
        <w:t>1、评标方法：采用综合评分法，满分为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2、价格分采用低价优先法计算，即满足招标文件要求且投标价格最低的投标报价为评标基准价，其价格分为满分，其他投标人的价格分统一按下列公式计算：</w:t>
      </w:r>
    </w:p>
    <w:p>
      <w:pPr>
        <w:spacing w:line="302" w:lineRule="auto"/>
        <w:rPr>
          <w:rFonts w:ascii="宋体" w:hAnsi="宋体"/>
          <w:sz w:val="21"/>
          <w:szCs w:val="21"/>
        </w:rPr>
      </w:pPr>
      <w:r>
        <w:rPr>
          <w:rFonts w:hint="eastAsia" w:ascii="宋体" w:hAnsi="宋体"/>
          <w:sz w:val="21"/>
          <w:szCs w:val="21"/>
        </w:rPr>
        <w:t>投标报价得分=（评标基准价/投标报价）×价格权值×100。</w:t>
      </w:r>
    </w:p>
    <w:p>
      <w:pPr>
        <w:spacing w:line="302" w:lineRule="auto"/>
        <w:rPr>
          <w:rFonts w:ascii="宋体" w:hAnsi="宋体"/>
          <w:sz w:val="21"/>
          <w:szCs w:val="21"/>
        </w:rPr>
      </w:pPr>
      <w:r>
        <w:rPr>
          <w:rFonts w:hint="eastAsia" w:ascii="宋体" w:hAnsi="宋体"/>
          <w:sz w:val="21"/>
          <w:szCs w:val="21"/>
        </w:rPr>
        <w:t>3、最低报价不作为中标保证。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4、本项目对属于小型和微型企业的投标人的投标报价给予10%的扣除，用扣除后的价格参与评审。</w:t>
      </w:r>
    </w:p>
    <w:p>
      <w:pPr>
        <w:widowControl/>
        <w:adjustRightInd/>
        <w:spacing w:line="400" w:lineRule="exact"/>
        <w:jc w:val="both"/>
        <w:textAlignment w:val="auto"/>
        <w:rPr>
          <w:rFonts w:ascii="宋体" w:hAnsi="宋体"/>
          <w:sz w:val="21"/>
          <w:szCs w:val="21"/>
        </w:rPr>
      </w:pPr>
      <w:r>
        <w:rPr>
          <w:rFonts w:hint="eastAsia" w:ascii="宋体" w:hAnsi="宋体"/>
          <w:sz w:val="21"/>
          <w:szCs w:val="21"/>
        </w:rPr>
        <w:t>5、具体评标标准：</w:t>
      </w:r>
    </w:p>
    <w:p>
      <w:pPr>
        <w:widowControl/>
        <w:adjustRightInd/>
        <w:spacing w:line="400" w:lineRule="exact"/>
        <w:jc w:val="both"/>
        <w:textAlignment w:val="auto"/>
        <w:rPr>
          <w:rFonts w:ascii="宋体" w:hAnsi="宋体" w:cs="宋体"/>
          <w:b/>
          <w:sz w:val="21"/>
          <w:szCs w:val="21"/>
        </w:rPr>
      </w:pPr>
    </w:p>
    <w:tbl>
      <w:tblPr>
        <w:tblStyle w:val="18"/>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95"/>
        <w:gridCol w:w="1134"/>
        <w:gridCol w:w="6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 w:val="21"/>
                <w:szCs w:val="21"/>
              </w:rPr>
            </w:pPr>
            <w:r>
              <w:rPr>
                <w:rFonts w:hint="eastAsia" w:ascii="宋体" w:hAnsi="宋体" w:cs="宋体"/>
                <w:b/>
                <w:sz w:val="21"/>
                <w:szCs w:val="21"/>
              </w:rPr>
              <w:t>序号</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1"/>
                <w:szCs w:val="21"/>
              </w:rPr>
            </w:pPr>
            <w:r>
              <w:rPr>
                <w:rFonts w:hint="eastAsia" w:ascii="宋体" w:hAnsi="宋体" w:cs="宋体"/>
                <w:b/>
                <w:sz w:val="21"/>
                <w:szCs w:val="21"/>
              </w:rPr>
              <w:t>评分因素</w:t>
            </w:r>
          </w:p>
        </w:tc>
        <w:tc>
          <w:tcPr>
            <w:tcW w:w="7826" w:type="dxa"/>
            <w:gridSpan w:val="2"/>
            <w:tcBorders>
              <w:top w:val="single" w:color="auto" w:sz="4" w:space="0"/>
              <w:left w:val="single" w:color="auto" w:sz="4" w:space="0"/>
              <w:bottom w:val="single" w:color="auto" w:sz="4" w:space="0"/>
              <w:right w:val="single" w:color="auto" w:sz="4" w:space="0"/>
            </w:tcBorders>
            <w:vAlign w:val="center"/>
          </w:tcPr>
          <w:p>
            <w:pPr>
              <w:ind w:firstLine="422" w:firstLineChars="200"/>
              <w:jc w:val="center"/>
              <w:rPr>
                <w:rFonts w:ascii="宋体" w:hAnsi="宋体" w:cs="宋体"/>
                <w:b/>
                <w:sz w:val="21"/>
                <w:szCs w:val="21"/>
              </w:rPr>
            </w:pPr>
            <w:r>
              <w:rPr>
                <w:rFonts w:hint="eastAsia" w:ascii="宋体" w:hAnsi="宋体" w:cs="宋体"/>
                <w:b/>
                <w:sz w:val="21"/>
                <w:szCs w:val="21"/>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4" w:type="dxa"/>
            <w:vMerge w:val="restart"/>
            <w:tcBorders>
              <w:top w:val="single" w:color="auto" w:sz="4" w:space="0"/>
              <w:left w:val="single" w:color="auto" w:sz="4" w:space="0"/>
              <w:right w:val="single" w:color="auto" w:sz="4" w:space="0"/>
            </w:tcBorders>
            <w:vAlign w:val="center"/>
          </w:tcPr>
          <w:p>
            <w:pPr>
              <w:ind w:firstLine="105" w:firstLineChars="50"/>
              <w:jc w:val="center"/>
              <w:rPr>
                <w:rFonts w:ascii="宋体" w:hAnsi="宋体" w:cs="宋体"/>
                <w:sz w:val="21"/>
                <w:szCs w:val="21"/>
              </w:rPr>
            </w:pPr>
            <w:r>
              <w:rPr>
                <w:rFonts w:hint="eastAsia" w:ascii="宋体" w:hAnsi="宋体" w:cs="宋体"/>
                <w:sz w:val="21"/>
                <w:szCs w:val="21"/>
              </w:rPr>
              <w:t>1</w:t>
            </w:r>
          </w:p>
        </w:tc>
        <w:tc>
          <w:tcPr>
            <w:tcW w:w="1095"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商务</w:t>
            </w:r>
          </w:p>
          <w:p>
            <w:pPr>
              <w:rPr>
                <w:rFonts w:ascii="宋体" w:hAnsi="宋体" w:cs="宋体"/>
                <w:sz w:val="21"/>
                <w:szCs w:val="21"/>
                <w:highlight w:val="yellow"/>
              </w:rPr>
            </w:pPr>
            <w:r>
              <w:rPr>
                <w:rFonts w:hint="eastAsia" w:ascii="宋体" w:hAnsi="宋体" w:cs="宋体"/>
                <w:sz w:val="21"/>
                <w:szCs w:val="21"/>
              </w:rPr>
              <w:t>（20分）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业绩</w:t>
            </w:r>
          </w:p>
          <w:p>
            <w:pPr>
              <w:jc w:val="center"/>
              <w:rPr>
                <w:rFonts w:ascii="宋体" w:hAnsi="宋体" w:cs="宋体"/>
                <w:sz w:val="21"/>
                <w:szCs w:val="21"/>
              </w:rPr>
            </w:pPr>
            <w:r>
              <w:rPr>
                <w:rFonts w:hint="eastAsia" w:ascii="宋体" w:hAnsi="宋体" w:cs="宋体"/>
                <w:sz w:val="21"/>
                <w:szCs w:val="21"/>
              </w:rPr>
              <w:t>（10分）</w:t>
            </w:r>
          </w:p>
        </w:tc>
        <w:tc>
          <w:tcPr>
            <w:tcW w:w="6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综合考虑投标人自2020年1月1日（以合同签订时间为准）起至今承担的网络租赁服务业绩，每个业绩得2分，该项最高得10分（须提供合同首页、签字盖章页、合同关键内容页、签字日期页的复印件，合同乙方名称必须与投标人的名称完全一致，如公司名称发生变更，必须提供工商部门的证明文件，并加盖投标人公章，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4" w:type="dxa"/>
            <w:vMerge w:val="continue"/>
            <w:tcBorders>
              <w:left w:val="single" w:color="auto" w:sz="4" w:space="0"/>
              <w:right w:val="single" w:color="auto" w:sz="4" w:space="0"/>
            </w:tcBorders>
            <w:vAlign w:val="center"/>
          </w:tcPr>
          <w:p>
            <w:pPr>
              <w:ind w:firstLine="105" w:firstLineChars="50"/>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rPr>
                <w:rFonts w:ascii="宋体" w:hAnsi="宋体" w:cs="宋体"/>
                <w:sz w:val="21"/>
                <w:szCs w:val="21"/>
                <w:highlight w:val="yellow"/>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企业</w:t>
            </w:r>
          </w:p>
          <w:p>
            <w:pPr>
              <w:jc w:val="center"/>
              <w:rPr>
                <w:rFonts w:ascii="宋体" w:hAnsi="宋体" w:cs="宋体"/>
                <w:sz w:val="21"/>
                <w:szCs w:val="21"/>
              </w:rPr>
            </w:pPr>
            <w:r>
              <w:rPr>
                <w:rFonts w:hint="eastAsia" w:ascii="宋体" w:hAnsi="宋体" w:cs="宋体"/>
                <w:sz w:val="21"/>
                <w:szCs w:val="21"/>
              </w:rPr>
              <w:t>能力</w:t>
            </w:r>
          </w:p>
          <w:p>
            <w:pPr>
              <w:jc w:val="center"/>
              <w:rPr>
                <w:rFonts w:ascii="宋体" w:hAnsi="宋体" w:cs="宋体"/>
                <w:sz w:val="21"/>
                <w:szCs w:val="21"/>
              </w:rPr>
            </w:pPr>
            <w:r>
              <w:rPr>
                <w:rFonts w:hint="eastAsia" w:ascii="宋体" w:hAnsi="宋体" w:cs="宋体"/>
                <w:sz w:val="21"/>
                <w:szCs w:val="21"/>
              </w:rPr>
              <w:t>（10分）</w:t>
            </w:r>
          </w:p>
        </w:tc>
        <w:tc>
          <w:tcPr>
            <w:tcW w:w="6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投标人具有有效的质量管理体系认证证书的，得4分，投标人需提供证书复印件，未按要求提供不得分。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4" w:type="dxa"/>
            <w:vMerge w:val="continue"/>
            <w:tcBorders>
              <w:left w:val="single" w:color="auto" w:sz="4" w:space="0"/>
              <w:right w:val="single" w:color="auto" w:sz="4" w:space="0"/>
            </w:tcBorders>
            <w:vAlign w:val="center"/>
          </w:tcPr>
          <w:p>
            <w:pPr>
              <w:ind w:firstLine="105" w:firstLineChars="50"/>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rPr>
                <w:rFonts w:ascii="宋体" w:hAnsi="宋体" w:cs="宋体"/>
                <w:sz w:val="21"/>
                <w:szCs w:val="21"/>
                <w:highlight w:val="yellow"/>
              </w:rPr>
            </w:pPr>
          </w:p>
        </w:tc>
        <w:tc>
          <w:tcPr>
            <w:tcW w:w="113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6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投标人具有有效的信息技术服务管理体系认证证书的，得3分，投标人需提供证书复印件，未按要求提供不得分。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4" w:type="dxa"/>
            <w:vMerge w:val="continue"/>
            <w:tcBorders>
              <w:left w:val="single" w:color="auto" w:sz="4" w:space="0"/>
              <w:right w:val="single" w:color="auto" w:sz="4" w:space="0"/>
            </w:tcBorders>
            <w:vAlign w:val="center"/>
          </w:tcPr>
          <w:p>
            <w:pPr>
              <w:ind w:firstLine="105" w:firstLineChars="50"/>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rPr>
                <w:rFonts w:ascii="宋体" w:hAnsi="宋体" w:cs="宋体"/>
                <w:sz w:val="21"/>
                <w:szCs w:val="21"/>
                <w:highlight w:val="yellow"/>
              </w:rPr>
            </w:pPr>
          </w:p>
        </w:tc>
        <w:tc>
          <w:tcPr>
            <w:tcW w:w="113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6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投标人具有有效的</w:t>
            </w:r>
            <w:r>
              <w:rPr>
                <w:rFonts w:hint="eastAsia" w:ascii="宋体" w:hAnsi="宋体" w:cs="宋体"/>
                <w:color w:val="000000"/>
                <w:sz w:val="21"/>
                <w:szCs w:val="21"/>
              </w:rPr>
              <w:t>环境</w:t>
            </w:r>
            <w:r>
              <w:rPr>
                <w:rFonts w:hint="eastAsia" w:ascii="宋体" w:hAnsi="宋体" w:cs="宋体"/>
                <w:sz w:val="21"/>
                <w:szCs w:val="21"/>
              </w:rPr>
              <w:t>管理体系认证证书的，得3分，投标人需提供证书复印件并，未按要求提供不得分。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24"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w:t>
            </w:r>
          </w:p>
        </w:tc>
        <w:tc>
          <w:tcPr>
            <w:tcW w:w="109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投标产品性能、功能及服务方案</w:t>
            </w:r>
          </w:p>
          <w:p>
            <w:pPr>
              <w:jc w:val="center"/>
              <w:rPr>
                <w:rFonts w:ascii="宋体" w:hAnsi="宋体" w:cs="宋体"/>
                <w:sz w:val="21"/>
                <w:szCs w:val="21"/>
              </w:rPr>
            </w:pPr>
            <w:r>
              <w:rPr>
                <w:rFonts w:hint="eastAsia" w:ascii="宋体" w:hAnsi="宋体" w:cs="宋体"/>
                <w:sz w:val="21"/>
                <w:szCs w:val="21"/>
              </w:rPr>
              <w:t>（70分）</w:t>
            </w: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服务</w:t>
            </w:r>
          </w:p>
          <w:p>
            <w:pPr>
              <w:jc w:val="center"/>
              <w:rPr>
                <w:rFonts w:ascii="宋体" w:hAnsi="宋体" w:cs="宋体"/>
                <w:sz w:val="21"/>
                <w:szCs w:val="21"/>
              </w:rPr>
            </w:pPr>
            <w:r>
              <w:rPr>
                <w:rFonts w:hint="eastAsia" w:ascii="宋体" w:hAnsi="宋体" w:cs="宋体"/>
                <w:sz w:val="21"/>
                <w:szCs w:val="21"/>
              </w:rPr>
              <w:t>响应情况</w:t>
            </w:r>
          </w:p>
          <w:p>
            <w:pPr>
              <w:jc w:val="center"/>
              <w:rPr>
                <w:rFonts w:ascii="宋体" w:hAnsi="宋体" w:cs="宋体"/>
                <w:sz w:val="21"/>
                <w:szCs w:val="21"/>
              </w:rPr>
            </w:pPr>
            <w:r>
              <w:rPr>
                <w:rFonts w:hint="eastAsia" w:ascii="宋体" w:hAnsi="宋体" w:cs="宋体"/>
                <w:sz w:val="21"/>
                <w:szCs w:val="21"/>
              </w:rPr>
              <w:t>（22分）</w:t>
            </w:r>
          </w:p>
        </w:tc>
        <w:tc>
          <w:tcPr>
            <w:tcW w:w="6692" w:type="dxa"/>
            <w:tcBorders>
              <w:top w:val="single" w:color="auto" w:sz="4" w:space="0"/>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投标网络全部满足招标文件采购</w:t>
            </w:r>
            <w:r>
              <w:rPr>
                <w:rFonts w:ascii="宋体" w:hAnsi="宋体" w:cs="宋体"/>
                <w:sz w:val="21"/>
                <w:szCs w:val="21"/>
              </w:rPr>
              <w:t>需求</w:t>
            </w:r>
            <w:r>
              <w:rPr>
                <w:rFonts w:hint="eastAsia" w:ascii="宋体" w:hAnsi="宋体" w:cs="宋体"/>
                <w:sz w:val="21"/>
                <w:szCs w:val="21"/>
              </w:rPr>
              <w:t>“二、服务需求一览表网络需求明细表”11项要求的，得22分；有1项不满足需求的，扣2分，最低得0分。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服务要求响应情况</w:t>
            </w:r>
          </w:p>
          <w:p>
            <w:pPr>
              <w:jc w:val="center"/>
              <w:rPr>
                <w:rFonts w:ascii="宋体" w:hAnsi="宋体" w:cs="宋体"/>
                <w:sz w:val="21"/>
                <w:szCs w:val="21"/>
              </w:rPr>
            </w:pPr>
            <w:r>
              <w:rPr>
                <w:rFonts w:hint="eastAsia" w:ascii="宋体" w:hAnsi="宋体" w:cs="宋体"/>
                <w:sz w:val="21"/>
                <w:szCs w:val="21"/>
              </w:rPr>
              <w:t>（9分）</w:t>
            </w:r>
          </w:p>
        </w:tc>
        <w:tc>
          <w:tcPr>
            <w:tcW w:w="6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投标人对招标文件采购需求“三、服务要求 （一）网络服务要求”（共3项）一一应答，全部满足的得9分，有一项内容不满足的，扣3分，最低得0分。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134" w:type="dxa"/>
            <w:tcBorders>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w:t>
            </w:r>
          </w:p>
          <w:p>
            <w:pPr>
              <w:jc w:val="center"/>
              <w:rPr>
                <w:rFonts w:ascii="宋体" w:hAnsi="宋体" w:cs="宋体"/>
                <w:sz w:val="21"/>
                <w:szCs w:val="21"/>
              </w:rPr>
            </w:pPr>
            <w:r>
              <w:rPr>
                <w:rFonts w:hint="eastAsia" w:ascii="宋体" w:hAnsi="宋体" w:cs="宋体"/>
                <w:sz w:val="21"/>
                <w:szCs w:val="21"/>
              </w:rPr>
              <w:t>需求分析</w:t>
            </w:r>
          </w:p>
          <w:p>
            <w:pPr>
              <w:jc w:val="center"/>
              <w:rPr>
                <w:rFonts w:ascii="宋体" w:hAnsi="宋体" w:cs="宋体"/>
                <w:sz w:val="21"/>
                <w:szCs w:val="21"/>
              </w:rPr>
            </w:pPr>
            <w:r>
              <w:rPr>
                <w:rFonts w:hint="eastAsia" w:ascii="宋体" w:hAnsi="宋体" w:cs="宋体"/>
                <w:sz w:val="21"/>
                <w:szCs w:val="21"/>
              </w:rPr>
              <w:t>（7分）</w:t>
            </w:r>
          </w:p>
        </w:tc>
        <w:tc>
          <w:tcPr>
            <w:tcW w:w="6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投标人针对采购需求所提供的项目需求分析。</w:t>
            </w:r>
          </w:p>
          <w:p>
            <w:pPr>
              <w:rPr>
                <w:rFonts w:ascii="宋体" w:hAnsi="宋体" w:cs="宋体"/>
                <w:sz w:val="21"/>
                <w:szCs w:val="21"/>
              </w:rPr>
            </w:pPr>
            <w:r>
              <w:rPr>
                <w:rFonts w:hint="eastAsia" w:ascii="宋体" w:hAnsi="宋体" w:cs="宋体"/>
                <w:sz w:val="21"/>
                <w:szCs w:val="21"/>
              </w:rPr>
              <w:t>项目针对性强、符合项目要求、重难点分析全面到位：7分；</w:t>
            </w:r>
          </w:p>
          <w:p>
            <w:pPr>
              <w:rPr>
                <w:rFonts w:ascii="宋体" w:hAnsi="宋体" w:cs="宋体"/>
                <w:sz w:val="21"/>
                <w:szCs w:val="21"/>
              </w:rPr>
            </w:pPr>
            <w:r>
              <w:rPr>
                <w:rFonts w:hint="eastAsia" w:ascii="宋体" w:hAnsi="宋体" w:cs="宋体"/>
                <w:sz w:val="21"/>
                <w:szCs w:val="21"/>
              </w:rPr>
              <w:t>项目针对性一般、基本符合项目要求，有重难点分析：5分；</w:t>
            </w:r>
          </w:p>
          <w:p>
            <w:pPr>
              <w:rPr>
                <w:rFonts w:ascii="宋体" w:hAnsi="宋体" w:cs="宋体"/>
                <w:sz w:val="21"/>
                <w:szCs w:val="21"/>
              </w:rPr>
            </w:pPr>
            <w:r>
              <w:rPr>
                <w:rFonts w:hint="eastAsia" w:ascii="宋体" w:hAnsi="宋体" w:cs="宋体"/>
                <w:sz w:val="21"/>
                <w:szCs w:val="21"/>
              </w:rPr>
              <w:t xml:space="preserve">项目针对性不足，项目要求有重大偏离或内容缺失较多：3分； </w:t>
            </w:r>
          </w:p>
          <w:p>
            <w:pPr>
              <w:rPr>
                <w:rFonts w:ascii="宋体" w:hAnsi="宋体" w:cs="宋体"/>
                <w:sz w:val="21"/>
                <w:szCs w:val="21"/>
              </w:rPr>
            </w:pPr>
            <w:r>
              <w:rPr>
                <w:rFonts w:hint="eastAsia" w:ascii="宋体" w:hAnsi="宋体" w:cs="宋体"/>
                <w:sz w:val="21"/>
                <w:szCs w:val="21"/>
              </w:rPr>
              <w:t>未提供项目需求分析：0分。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134" w:type="dxa"/>
            <w:tcBorders>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w:t>
            </w:r>
          </w:p>
          <w:p>
            <w:pPr>
              <w:jc w:val="center"/>
              <w:rPr>
                <w:rFonts w:ascii="宋体" w:hAnsi="宋体" w:cs="宋体"/>
                <w:sz w:val="21"/>
                <w:szCs w:val="21"/>
              </w:rPr>
            </w:pPr>
            <w:r>
              <w:rPr>
                <w:rFonts w:hint="eastAsia" w:ascii="宋体" w:hAnsi="宋体" w:cs="宋体"/>
                <w:sz w:val="21"/>
                <w:szCs w:val="21"/>
              </w:rPr>
              <w:t>服务方案</w:t>
            </w:r>
          </w:p>
          <w:p>
            <w:pPr>
              <w:jc w:val="center"/>
              <w:rPr>
                <w:rFonts w:ascii="宋体" w:hAnsi="宋体" w:cs="宋体"/>
                <w:sz w:val="21"/>
                <w:szCs w:val="21"/>
              </w:rPr>
            </w:pPr>
            <w:r>
              <w:rPr>
                <w:rFonts w:hint="eastAsia" w:ascii="宋体" w:hAnsi="宋体" w:cs="宋体"/>
                <w:sz w:val="21"/>
                <w:szCs w:val="21"/>
              </w:rPr>
              <w:t>（7分）</w:t>
            </w:r>
          </w:p>
        </w:tc>
        <w:tc>
          <w:tcPr>
            <w:tcW w:w="6692" w:type="dxa"/>
            <w:tcBorders>
              <w:top w:val="single" w:color="auto" w:sz="4" w:space="0"/>
              <w:left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投标人提供详细具体的服务方案，内容包括：组网方式、网络带宽、接入方式、备份网络等。</w:t>
            </w:r>
          </w:p>
          <w:p>
            <w:pPr>
              <w:rPr>
                <w:rFonts w:ascii="宋体" w:hAnsi="宋体" w:cs="宋体"/>
                <w:sz w:val="21"/>
                <w:szCs w:val="21"/>
              </w:rPr>
            </w:pPr>
            <w:r>
              <w:rPr>
                <w:rFonts w:hint="eastAsia" w:ascii="宋体" w:hAnsi="宋体" w:cs="宋体"/>
                <w:sz w:val="21"/>
                <w:szCs w:val="21"/>
              </w:rPr>
              <w:t>服务方案内容全面，详细具体，针对性强的得7分；</w:t>
            </w:r>
          </w:p>
          <w:p>
            <w:pPr>
              <w:rPr>
                <w:rFonts w:ascii="宋体" w:hAnsi="宋体" w:cs="宋体"/>
                <w:sz w:val="21"/>
                <w:szCs w:val="21"/>
              </w:rPr>
            </w:pPr>
            <w:r>
              <w:rPr>
                <w:rFonts w:hint="eastAsia" w:ascii="宋体" w:hAnsi="宋体" w:cs="宋体"/>
                <w:sz w:val="21"/>
                <w:szCs w:val="21"/>
              </w:rPr>
              <w:t>服务方案内容全面，较为具体，有一定针对性的得5分；</w:t>
            </w:r>
          </w:p>
          <w:p>
            <w:pPr>
              <w:rPr>
                <w:rFonts w:ascii="宋体" w:hAnsi="宋体" w:cs="宋体"/>
                <w:sz w:val="21"/>
                <w:szCs w:val="21"/>
              </w:rPr>
            </w:pPr>
            <w:r>
              <w:rPr>
                <w:rFonts w:hint="eastAsia" w:ascii="宋体" w:hAnsi="宋体" w:cs="宋体"/>
                <w:sz w:val="21"/>
                <w:szCs w:val="21"/>
              </w:rPr>
              <w:t>服务方案内容不全，缺乏针对性的得3分；</w:t>
            </w:r>
          </w:p>
          <w:p>
            <w:pPr>
              <w:rPr>
                <w:rFonts w:ascii="宋体" w:hAnsi="宋体" w:cs="宋体"/>
                <w:sz w:val="21"/>
                <w:szCs w:val="21"/>
              </w:rPr>
            </w:pPr>
            <w:r>
              <w:rPr>
                <w:rFonts w:hint="eastAsia" w:ascii="宋体" w:hAnsi="宋体" w:cs="宋体"/>
                <w:sz w:val="21"/>
                <w:szCs w:val="21"/>
              </w:rPr>
              <w:t>未提供项目服务方案，得0分。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134" w:type="dxa"/>
            <w:tcBorders>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w:t>
            </w:r>
          </w:p>
          <w:p>
            <w:pPr>
              <w:jc w:val="center"/>
              <w:rPr>
                <w:rFonts w:ascii="宋体" w:hAnsi="宋体" w:cs="宋体"/>
                <w:sz w:val="21"/>
                <w:szCs w:val="21"/>
              </w:rPr>
            </w:pPr>
            <w:r>
              <w:rPr>
                <w:rFonts w:hint="eastAsia" w:ascii="宋体" w:hAnsi="宋体" w:cs="宋体"/>
                <w:sz w:val="21"/>
                <w:szCs w:val="21"/>
              </w:rPr>
              <w:t>维护方案</w:t>
            </w:r>
          </w:p>
          <w:p>
            <w:pPr>
              <w:jc w:val="center"/>
              <w:rPr>
                <w:rFonts w:ascii="宋体" w:hAnsi="宋体" w:cs="宋体"/>
                <w:sz w:val="21"/>
                <w:szCs w:val="21"/>
              </w:rPr>
            </w:pPr>
            <w:r>
              <w:rPr>
                <w:rFonts w:hint="eastAsia" w:ascii="宋体" w:hAnsi="宋体" w:cs="宋体"/>
                <w:sz w:val="21"/>
                <w:szCs w:val="21"/>
              </w:rPr>
              <w:t>（10分）</w:t>
            </w:r>
          </w:p>
        </w:tc>
        <w:tc>
          <w:tcPr>
            <w:tcW w:w="6692" w:type="dxa"/>
            <w:tcBorders>
              <w:top w:val="single" w:color="auto" w:sz="4" w:space="0"/>
              <w:left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投标人提供详细具体的维护方案，内容包括：维护内容、维护方式、维护周期、维护团队等。</w:t>
            </w:r>
          </w:p>
          <w:p>
            <w:pPr>
              <w:rPr>
                <w:rFonts w:ascii="宋体" w:hAnsi="宋体" w:cs="宋体"/>
                <w:sz w:val="21"/>
                <w:szCs w:val="21"/>
              </w:rPr>
            </w:pPr>
            <w:r>
              <w:rPr>
                <w:rFonts w:hint="eastAsia" w:ascii="宋体" w:hAnsi="宋体" w:cs="宋体"/>
                <w:sz w:val="21"/>
                <w:szCs w:val="21"/>
              </w:rPr>
              <w:t>维护方案内容全面，详细具体，针对性强的得10分；</w:t>
            </w:r>
          </w:p>
          <w:p>
            <w:pPr>
              <w:rPr>
                <w:rFonts w:ascii="宋体" w:hAnsi="宋体" w:cs="宋体"/>
                <w:sz w:val="21"/>
                <w:szCs w:val="21"/>
              </w:rPr>
            </w:pPr>
            <w:r>
              <w:rPr>
                <w:rFonts w:hint="eastAsia" w:ascii="宋体" w:hAnsi="宋体" w:cs="宋体"/>
                <w:sz w:val="21"/>
                <w:szCs w:val="21"/>
              </w:rPr>
              <w:t>维护方案内容全面，较为具体，有一定针对性的得6分；</w:t>
            </w:r>
          </w:p>
          <w:p>
            <w:pPr>
              <w:rPr>
                <w:rFonts w:ascii="宋体" w:hAnsi="宋体" w:cs="宋体"/>
                <w:sz w:val="21"/>
                <w:szCs w:val="21"/>
              </w:rPr>
            </w:pPr>
            <w:r>
              <w:rPr>
                <w:rFonts w:hint="eastAsia" w:ascii="宋体" w:hAnsi="宋体" w:cs="宋体"/>
                <w:sz w:val="21"/>
                <w:szCs w:val="21"/>
              </w:rPr>
              <w:t>维护方案内容不全，缺乏针对性的得3分；</w:t>
            </w:r>
          </w:p>
          <w:p>
            <w:pPr>
              <w:rPr>
                <w:rFonts w:ascii="宋体" w:hAnsi="宋体" w:cs="宋体"/>
                <w:sz w:val="21"/>
                <w:szCs w:val="21"/>
              </w:rPr>
            </w:pPr>
            <w:r>
              <w:rPr>
                <w:rFonts w:hint="eastAsia" w:ascii="宋体" w:hAnsi="宋体" w:cs="宋体"/>
                <w:sz w:val="21"/>
                <w:szCs w:val="21"/>
              </w:rPr>
              <w:t>未提供项目维护方案，得0分。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w:t>
            </w:r>
          </w:p>
          <w:p>
            <w:pPr>
              <w:jc w:val="center"/>
              <w:rPr>
                <w:rFonts w:ascii="宋体" w:hAnsi="宋体" w:cs="宋体"/>
                <w:sz w:val="21"/>
                <w:szCs w:val="21"/>
              </w:rPr>
            </w:pPr>
            <w:r>
              <w:rPr>
                <w:rFonts w:hint="eastAsia" w:ascii="宋体" w:hAnsi="宋体" w:cs="宋体"/>
                <w:sz w:val="21"/>
                <w:szCs w:val="21"/>
              </w:rPr>
              <w:t>应急预案</w:t>
            </w:r>
          </w:p>
          <w:p>
            <w:pPr>
              <w:jc w:val="center"/>
              <w:rPr>
                <w:rFonts w:ascii="宋体" w:hAnsi="宋体" w:cs="宋体"/>
                <w:sz w:val="21"/>
                <w:szCs w:val="21"/>
              </w:rPr>
            </w:pPr>
            <w:r>
              <w:rPr>
                <w:rFonts w:hint="eastAsia" w:ascii="宋体" w:hAnsi="宋体" w:cs="宋体"/>
                <w:sz w:val="21"/>
                <w:szCs w:val="21"/>
              </w:rPr>
              <w:t>（10分）</w:t>
            </w:r>
          </w:p>
        </w:tc>
        <w:tc>
          <w:tcPr>
            <w:tcW w:w="6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投标人提供详细具体的应急预案，内容包括：风险分析、应对措施、响应速度、处置团队等。</w:t>
            </w:r>
          </w:p>
          <w:p>
            <w:pPr>
              <w:rPr>
                <w:rFonts w:ascii="宋体" w:hAnsi="宋体" w:cs="宋体"/>
                <w:sz w:val="21"/>
                <w:szCs w:val="21"/>
              </w:rPr>
            </w:pPr>
            <w:r>
              <w:rPr>
                <w:rFonts w:hint="eastAsia" w:ascii="宋体" w:hAnsi="宋体" w:cs="宋体"/>
                <w:sz w:val="21"/>
                <w:szCs w:val="21"/>
              </w:rPr>
              <w:t>应急预案内容全面，详细具体，针对性强的得10分；</w:t>
            </w:r>
          </w:p>
          <w:p>
            <w:pPr>
              <w:rPr>
                <w:rFonts w:ascii="宋体" w:hAnsi="宋体" w:cs="宋体"/>
                <w:sz w:val="21"/>
                <w:szCs w:val="21"/>
              </w:rPr>
            </w:pPr>
            <w:r>
              <w:rPr>
                <w:rFonts w:hint="eastAsia" w:ascii="宋体" w:hAnsi="宋体" w:cs="宋体"/>
                <w:sz w:val="21"/>
                <w:szCs w:val="21"/>
              </w:rPr>
              <w:t>应急预案内容全面，较为具体，有一定针对性的得6分；</w:t>
            </w:r>
          </w:p>
          <w:p>
            <w:pPr>
              <w:rPr>
                <w:rFonts w:ascii="宋体" w:hAnsi="宋体" w:cs="宋体"/>
                <w:sz w:val="21"/>
                <w:szCs w:val="21"/>
              </w:rPr>
            </w:pPr>
            <w:r>
              <w:rPr>
                <w:rFonts w:hint="eastAsia" w:ascii="宋体" w:hAnsi="宋体" w:cs="宋体"/>
                <w:sz w:val="21"/>
                <w:szCs w:val="21"/>
              </w:rPr>
              <w:t>应急预案内容不全，缺乏针对性的得3分；</w:t>
            </w:r>
          </w:p>
          <w:p>
            <w:pPr>
              <w:rPr>
                <w:rFonts w:ascii="宋体" w:hAnsi="宋体" w:cs="宋体"/>
                <w:sz w:val="21"/>
                <w:szCs w:val="21"/>
              </w:rPr>
            </w:pPr>
            <w:r>
              <w:rPr>
                <w:rFonts w:hint="eastAsia" w:ascii="宋体" w:hAnsi="宋体" w:cs="宋体"/>
                <w:sz w:val="21"/>
                <w:szCs w:val="21"/>
              </w:rPr>
              <w:t>未提供项目应急预案，得0分。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项目团队（一）</w:t>
            </w:r>
          </w:p>
          <w:p>
            <w:pPr>
              <w:jc w:val="center"/>
              <w:rPr>
                <w:rFonts w:ascii="宋体" w:hAnsi="宋体" w:cs="宋体"/>
                <w:sz w:val="21"/>
                <w:szCs w:val="21"/>
              </w:rPr>
            </w:pPr>
            <w:r>
              <w:rPr>
                <w:rFonts w:hint="eastAsia" w:ascii="宋体" w:hAnsi="宋体" w:cs="宋体"/>
                <w:sz w:val="21"/>
                <w:szCs w:val="21"/>
              </w:rPr>
              <w:t>（4分）</w:t>
            </w:r>
          </w:p>
        </w:tc>
        <w:tc>
          <w:tcPr>
            <w:tcW w:w="6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拟投入团队人员每提供1个国家主管部门颁发的网络或通信专业中级(含)以上工程师资格得1分，最高4分（每人最多得1分）。（需提供工作经验证明材料和相关证书复印件，否则不得分）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134" w:type="dxa"/>
            <w:tcBorders>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项目团队（二）</w:t>
            </w:r>
          </w:p>
          <w:p>
            <w:pPr>
              <w:jc w:val="center"/>
              <w:rPr>
                <w:rFonts w:ascii="宋体" w:hAnsi="宋体" w:cs="宋体"/>
                <w:sz w:val="21"/>
                <w:szCs w:val="21"/>
              </w:rPr>
            </w:pPr>
            <w:r>
              <w:rPr>
                <w:rFonts w:hint="eastAsia" w:ascii="宋体" w:hAnsi="宋体" w:cs="宋体"/>
                <w:sz w:val="21"/>
                <w:szCs w:val="21"/>
              </w:rPr>
              <w:t>（1分）</w:t>
            </w:r>
          </w:p>
        </w:tc>
        <w:tc>
          <w:tcPr>
            <w:tcW w:w="6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团队人员组成专业结构合理、职责清晰明确，描述具体，具有针对性，得1分，否则不得分。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价格</w:t>
            </w:r>
          </w:p>
          <w:p>
            <w:pPr>
              <w:jc w:val="center"/>
              <w:rPr>
                <w:rFonts w:ascii="宋体" w:hAnsi="宋体" w:cs="宋体"/>
                <w:sz w:val="21"/>
                <w:szCs w:val="21"/>
              </w:rPr>
            </w:pPr>
            <w:r>
              <w:rPr>
                <w:rFonts w:hint="eastAsia" w:ascii="宋体" w:hAnsi="宋体" w:cs="宋体"/>
                <w:sz w:val="21"/>
                <w:szCs w:val="21"/>
              </w:rPr>
              <w:t>（10分）</w:t>
            </w:r>
          </w:p>
        </w:tc>
        <w:tc>
          <w:tcPr>
            <w:tcW w:w="782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color w:val="000000"/>
                <w:sz w:val="21"/>
                <w:szCs w:val="21"/>
              </w:rPr>
              <w:t>价格分采用低价优先法计算，即满足招标文件要求且投标价格最低的投标报价为评标基准价，其价格分为满分，其他投标人的价格分统一按下列公式计算：投标报价得分=（评标基准价/投标报价）×价格权值×100。</w:t>
            </w:r>
          </w:p>
        </w:tc>
      </w:tr>
    </w:tbl>
    <w:p>
      <w:pPr>
        <w:spacing w:line="360" w:lineRule="auto"/>
        <w:rPr>
          <w:rFonts w:ascii="宋体" w:hAnsi="宋体" w:cs="宋体"/>
          <w:b/>
          <w:sz w:val="21"/>
          <w:szCs w:val="21"/>
        </w:rPr>
      </w:pPr>
    </w:p>
    <w:p>
      <w:pPr>
        <w:pStyle w:val="2"/>
      </w:pPr>
    </w:p>
    <w:p>
      <w:pPr>
        <w:spacing w:line="302" w:lineRule="auto"/>
        <w:jc w:val="center"/>
        <w:rPr>
          <w:rFonts w:ascii="宋体" w:hAnsi="宋体"/>
          <w:b/>
          <w:sz w:val="21"/>
          <w:szCs w:val="21"/>
        </w:rPr>
      </w:pPr>
    </w:p>
    <w:p>
      <w:pPr>
        <w:spacing w:line="302" w:lineRule="auto"/>
        <w:jc w:val="center"/>
        <w:rPr>
          <w:rFonts w:ascii="宋体" w:hAnsi="宋体"/>
          <w:b/>
          <w:sz w:val="21"/>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2" w:lineRule="auto"/>
        <w:jc w:val="center"/>
        <w:rPr>
          <w:rFonts w:ascii="宋体" w:hAnsi="宋体"/>
          <w:sz w:val="21"/>
          <w:szCs w:val="21"/>
        </w:rPr>
      </w:pPr>
      <w:r>
        <w:rPr>
          <w:rFonts w:hint="eastAsia" w:ascii="宋体" w:hAnsi="宋体"/>
          <w:b/>
          <w:sz w:val="21"/>
          <w:szCs w:val="21"/>
        </w:rPr>
        <w:t>第二包  政务云租用</w:t>
      </w:r>
    </w:p>
    <w:p>
      <w:pPr>
        <w:spacing w:line="302" w:lineRule="auto"/>
        <w:rPr>
          <w:rFonts w:ascii="宋体" w:hAnsi="宋体"/>
          <w:sz w:val="21"/>
          <w:szCs w:val="21"/>
        </w:rPr>
      </w:pPr>
      <w:r>
        <w:rPr>
          <w:rFonts w:hint="eastAsia" w:ascii="宋体" w:hAnsi="宋体"/>
          <w:sz w:val="21"/>
          <w:szCs w:val="21"/>
        </w:rPr>
        <w:t>1、评标方法：采用综合评分法，满分为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2、价格分采用低价优先法计算，即满足招标文件要求且投标价格最低的投标报价为评标基准价，其价格分为满分，其他投标人的价格分统一按下列公式计算：</w:t>
      </w:r>
    </w:p>
    <w:p>
      <w:pPr>
        <w:spacing w:line="302" w:lineRule="auto"/>
        <w:rPr>
          <w:rFonts w:ascii="宋体" w:hAnsi="宋体"/>
          <w:sz w:val="21"/>
          <w:szCs w:val="21"/>
        </w:rPr>
      </w:pPr>
      <w:r>
        <w:rPr>
          <w:rFonts w:hint="eastAsia" w:ascii="宋体" w:hAnsi="宋体"/>
          <w:sz w:val="21"/>
          <w:szCs w:val="21"/>
        </w:rPr>
        <w:t>投标报价得分=（评标基准价/投标报价）×价格权值×100。</w:t>
      </w:r>
    </w:p>
    <w:p>
      <w:pPr>
        <w:spacing w:line="302" w:lineRule="auto"/>
        <w:rPr>
          <w:rFonts w:ascii="宋体" w:hAnsi="宋体"/>
          <w:sz w:val="21"/>
          <w:szCs w:val="21"/>
        </w:rPr>
      </w:pPr>
      <w:r>
        <w:rPr>
          <w:rFonts w:hint="eastAsia" w:ascii="宋体" w:hAnsi="宋体"/>
          <w:sz w:val="21"/>
          <w:szCs w:val="21"/>
        </w:rPr>
        <w:t>3、最低报价不作为中标保证。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4、本项目对属于小型和微型企业的投标人的投标报价给予10%的扣除，用扣除后的价格参与评审。</w:t>
      </w:r>
    </w:p>
    <w:p>
      <w:pPr>
        <w:widowControl/>
        <w:adjustRightInd/>
        <w:spacing w:line="400" w:lineRule="exact"/>
        <w:jc w:val="both"/>
        <w:textAlignment w:val="auto"/>
        <w:rPr>
          <w:rFonts w:ascii="宋体" w:hAnsi="宋体" w:cs="微软雅黑"/>
          <w:color w:val="000000"/>
          <w:sz w:val="21"/>
          <w:szCs w:val="21"/>
        </w:rPr>
      </w:pPr>
      <w:r>
        <w:rPr>
          <w:rFonts w:hint="eastAsia" w:ascii="宋体" w:hAnsi="宋体"/>
          <w:sz w:val="21"/>
          <w:szCs w:val="21"/>
        </w:rPr>
        <w:t>5、具体评标标准：</w:t>
      </w:r>
    </w:p>
    <w:tbl>
      <w:tblPr>
        <w:tblStyle w:val="18"/>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95"/>
        <w:gridCol w:w="1276"/>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 w:val="21"/>
                <w:szCs w:val="21"/>
              </w:rPr>
            </w:pPr>
            <w:r>
              <w:rPr>
                <w:rFonts w:hint="eastAsia" w:ascii="宋体" w:hAnsi="宋体" w:cs="宋体"/>
                <w:b/>
                <w:sz w:val="21"/>
                <w:szCs w:val="21"/>
              </w:rPr>
              <w:t>序号</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1"/>
                <w:szCs w:val="21"/>
              </w:rPr>
            </w:pPr>
            <w:r>
              <w:rPr>
                <w:rFonts w:hint="eastAsia" w:ascii="宋体" w:hAnsi="宋体" w:cs="宋体"/>
                <w:b/>
                <w:sz w:val="21"/>
                <w:szCs w:val="21"/>
              </w:rPr>
              <w:t>评分因素</w:t>
            </w:r>
          </w:p>
        </w:tc>
        <w:tc>
          <w:tcPr>
            <w:tcW w:w="7826" w:type="dxa"/>
            <w:gridSpan w:val="2"/>
            <w:tcBorders>
              <w:top w:val="single" w:color="auto" w:sz="4" w:space="0"/>
              <w:left w:val="single" w:color="auto" w:sz="4" w:space="0"/>
              <w:bottom w:val="single" w:color="auto" w:sz="4" w:space="0"/>
              <w:right w:val="single" w:color="auto" w:sz="4" w:space="0"/>
            </w:tcBorders>
            <w:vAlign w:val="center"/>
          </w:tcPr>
          <w:p>
            <w:pPr>
              <w:ind w:firstLine="422" w:firstLineChars="200"/>
              <w:jc w:val="center"/>
              <w:rPr>
                <w:rFonts w:ascii="宋体" w:hAnsi="宋体" w:cs="宋体"/>
                <w:b/>
                <w:sz w:val="21"/>
                <w:szCs w:val="21"/>
              </w:rPr>
            </w:pPr>
            <w:r>
              <w:rPr>
                <w:rFonts w:hint="eastAsia" w:ascii="宋体" w:hAnsi="宋体" w:cs="宋体"/>
                <w:b/>
                <w:sz w:val="21"/>
                <w:szCs w:val="21"/>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724" w:type="dxa"/>
            <w:vMerge w:val="restart"/>
            <w:tcBorders>
              <w:top w:val="single" w:color="auto" w:sz="4" w:space="0"/>
              <w:left w:val="single" w:color="auto" w:sz="4" w:space="0"/>
              <w:right w:val="single" w:color="auto" w:sz="4" w:space="0"/>
            </w:tcBorders>
            <w:vAlign w:val="center"/>
          </w:tcPr>
          <w:p>
            <w:pPr>
              <w:ind w:firstLine="105" w:firstLineChars="50"/>
              <w:jc w:val="center"/>
              <w:rPr>
                <w:rFonts w:ascii="宋体" w:hAnsi="宋体" w:cs="宋体"/>
                <w:sz w:val="21"/>
                <w:szCs w:val="21"/>
              </w:rPr>
            </w:pPr>
            <w:r>
              <w:rPr>
                <w:rFonts w:hint="eastAsia" w:ascii="宋体" w:hAnsi="宋体" w:cs="宋体"/>
                <w:sz w:val="21"/>
                <w:szCs w:val="21"/>
              </w:rPr>
              <w:t>1</w:t>
            </w:r>
          </w:p>
        </w:tc>
        <w:tc>
          <w:tcPr>
            <w:tcW w:w="109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商务</w:t>
            </w:r>
          </w:p>
          <w:p>
            <w:pPr>
              <w:snapToGrid w:val="0"/>
              <w:jc w:val="center"/>
              <w:rPr>
                <w:rFonts w:ascii="宋体" w:hAnsi="宋体" w:cs="宋体"/>
                <w:sz w:val="21"/>
                <w:szCs w:val="21"/>
              </w:rPr>
            </w:pPr>
            <w:r>
              <w:rPr>
                <w:rFonts w:hint="eastAsia" w:ascii="宋体" w:hAnsi="宋体" w:cs="宋体"/>
                <w:sz w:val="21"/>
                <w:szCs w:val="21"/>
              </w:rPr>
              <w:t>部分</w:t>
            </w:r>
          </w:p>
          <w:p>
            <w:pPr>
              <w:snapToGrid w:val="0"/>
              <w:rPr>
                <w:rFonts w:ascii="宋体" w:hAnsi="宋体" w:cs="宋体"/>
                <w:sz w:val="21"/>
                <w:szCs w:val="21"/>
              </w:rPr>
            </w:pPr>
            <w:r>
              <w:rPr>
                <w:rFonts w:hint="eastAsia" w:ascii="宋体" w:hAnsi="宋体" w:cs="宋体"/>
                <w:sz w:val="21"/>
                <w:szCs w:val="21"/>
              </w:rPr>
              <w:t>（20分）</w:t>
            </w:r>
          </w:p>
        </w:tc>
        <w:tc>
          <w:tcPr>
            <w:tcW w:w="1276" w:type="dxa"/>
            <w:tcBorders>
              <w:top w:val="single" w:color="auto" w:sz="4" w:space="0"/>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业绩</w:t>
            </w:r>
          </w:p>
          <w:p>
            <w:pPr>
              <w:snapToGrid w:val="0"/>
              <w:jc w:val="center"/>
              <w:rPr>
                <w:rFonts w:ascii="宋体" w:hAnsi="宋体" w:cs="宋体"/>
                <w:sz w:val="21"/>
                <w:szCs w:val="21"/>
              </w:rPr>
            </w:pPr>
            <w:r>
              <w:rPr>
                <w:rFonts w:hint="eastAsia" w:ascii="宋体" w:hAnsi="宋体" w:cs="宋体"/>
                <w:sz w:val="21"/>
                <w:szCs w:val="21"/>
              </w:rPr>
              <w:t>（10分）</w:t>
            </w:r>
          </w:p>
        </w:tc>
        <w:tc>
          <w:tcPr>
            <w:tcW w:w="6550" w:type="dxa"/>
            <w:tcBorders>
              <w:top w:val="single" w:color="auto" w:sz="4" w:space="0"/>
              <w:left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综合考虑投标人自2020年1月1日（以合同签订时间为准）起至今承担的政务云租赁服务业绩，每个业绩得2分，该项最高得10分（须提供合同首页、签字盖章页、合同关键内容页的复印件，</w:t>
            </w:r>
            <w:r>
              <w:rPr>
                <w:rFonts w:hint="eastAsia" w:ascii="宋体" w:hAnsi="宋体" w:cs="宋体"/>
                <w:color w:val="000000"/>
                <w:sz w:val="21"/>
                <w:szCs w:val="21"/>
              </w:rPr>
              <w:t>合同乙方名称必须与投标人的名称完全一致，如公司名称发生变更，必须提供工商部门的证明文件，</w:t>
            </w:r>
            <w:r>
              <w:rPr>
                <w:rFonts w:hint="eastAsia" w:ascii="宋体" w:hAnsi="宋体" w:cs="宋体"/>
                <w:sz w:val="21"/>
                <w:szCs w:val="21"/>
              </w:rPr>
              <w:t>并加盖投标人公章，否则不予得分）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4" w:type="dxa"/>
            <w:vMerge w:val="continue"/>
            <w:tcBorders>
              <w:left w:val="single" w:color="auto" w:sz="4" w:space="0"/>
              <w:right w:val="single" w:color="auto" w:sz="4" w:space="0"/>
            </w:tcBorders>
            <w:vAlign w:val="center"/>
          </w:tcPr>
          <w:p>
            <w:pPr>
              <w:ind w:firstLine="105" w:firstLineChars="50"/>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rPr>
                <w:rFonts w:ascii="宋体" w:hAnsi="宋体" w:cs="宋体"/>
                <w:sz w:val="21"/>
                <w:szCs w:val="21"/>
              </w:rPr>
            </w:pPr>
          </w:p>
        </w:tc>
        <w:tc>
          <w:tcPr>
            <w:tcW w:w="1276"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企业</w:t>
            </w:r>
          </w:p>
          <w:p>
            <w:pPr>
              <w:snapToGrid w:val="0"/>
              <w:jc w:val="center"/>
              <w:rPr>
                <w:rFonts w:ascii="宋体" w:hAnsi="宋体" w:cs="宋体"/>
                <w:sz w:val="21"/>
                <w:szCs w:val="21"/>
              </w:rPr>
            </w:pPr>
            <w:r>
              <w:rPr>
                <w:rFonts w:hint="eastAsia" w:ascii="宋体" w:hAnsi="宋体" w:cs="宋体"/>
                <w:sz w:val="21"/>
                <w:szCs w:val="21"/>
              </w:rPr>
              <w:t>能力</w:t>
            </w:r>
          </w:p>
          <w:p>
            <w:pPr>
              <w:snapToGrid w:val="0"/>
              <w:jc w:val="center"/>
              <w:rPr>
                <w:rFonts w:ascii="宋体" w:hAnsi="宋体" w:cs="宋体"/>
                <w:sz w:val="21"/>
                <w:szCs w:val="21"/>
              </w:rPr>
            </w:pPr>
            <w:r>
              <w:rPr>
                <w:rFonts w:hint="eastAsia" w:ascii="宋体" w:hAnsi="宋体" w:cs="宋体"/>
                <w:sz w:val="21"/>
                <w:szCs w:val="21"/>
              </w:rPr>
              <w:t>（5分）</w:t>
            </w: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投标人具有有效的</w:t>
            </w:r>
            <w:r>
              <w:rPr>
                <w:rFonts w:hint="eastAsia" w:ascii="宋体" w:hAnsi="宋体" w:cs="宋体"/>
                <w:color w:val="000000"/>
                <w:sz w:val="21"/>
                <w:szCs w:val="21"/>
              </w:rPr>
              <w:t>质量</w:t>
            </w:r>
            <w:r>
              <w:rPr>
                <w:rFonts w:hint="eastAsia" w:ascii="宋体" w:hAnsi="宋体" w:cs="宋体"/>
                <w:sz w:val="21"/>
                <w:szCs w:val="21"/>
              </w:rPr>
              <w:t>管理体系认证证书的，得1分，投标人需提供证书复印件，未按要求提供不得分。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4" w:type="dxa"/>
            <w:vMerge w:val="continue"/>
            <w:tcBorders>
              <w:left w:val="single" w:color="auto" w:sz="4" w:space="0"/>
              <w:right w:val="single" w:color="auto" w:sz="4" w:space="0"/>
            </w:tcBorders>
            <w:vAlign w:val="center"/>
          </w:tcPr>
          <w:p>
            <w:pPr>
              <w:ind w:firstLine="105" w:firstLineChars="50"/>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rPr>
                <w:rFonts w:ascii="宋体" w:hAnsi="宋体" w:cs="宋体"/>
                <w:sz w:val="21"/>
                <w:szCs w:val="21"/>
              </w:rPr>
            </w:pPr>
          </w:p>
        </w:tc>
        <w:tc>
          <w:tcPr>
            <w:tcW w:w="1276"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投标人具有有效的</w:t>
            </w:r>
            <w:r>
              <w:rPr>
                <w:rFonts w:hint="eastAsia" w:ascii="宋体" w:hAnsi="宋体" w:cs="宋体"/>
                <w:color w:val="000000"/>
                <w:sz w:val="21"/>
                <w:szCs w:val="21"/>
              </w:rPr>
              <w:t>环境</w:t>
            </w:r>
            <w:r>
              <w:rPr>
                <w:rFonts w:hint="eastAsia" w:ascii="宋体" w:hAnsi="宋体" w:cs="宋体"/>
                <w:sz w:val="21"/>
                <w:szCs w:val="21"/>
              </w:rPr>
              <w:t>管理体系认证证书的，得2分，投标人需提供证书复印件并，未按要求提供不得分。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24" w:type="dxa"/>
            <w:vMerge w:val="continue"/>
            <w:tcBorders>
              <w:left w:val="single" w:color="auto" w:sz="4" w:space="0"/>
              <w:right w:val="single" w:color="auto" w:sz="4" w:space="0"/>
            </w:tcBorders>
            <w:vAlign w:val="center"/>
          </w:tcPr>
          <w:p>
            <w:pPr>
              <w:ind w:firstLine="105" w:firstLineChars="50"/>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rPr>
                <w:rFonts w:ascii="宋体" w:hAnsi="宋体" w:cs="宋体"/>
                <w:sz w:val="21"/>
                <w:szCs w:val="21"/>
              </w:rPr>
            </w:pPr>
          </w:p>
        </w:tc>
        <w:tc>
          <w:tcPr>
            <w:tcW w:w="1276"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6550" w:type="dxa"/>
            <w:tcBorders>
              <w:top w:val="single" w:color="auto" w:sz="4" w:space="0"/>
              <w:left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投标人具有有效的信息技术服务管理体系认证证书的，得2分，投标人需提供证书复印件，未按要求提供不得分。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24" w:type="dxa"/>
            <w:vMerge w:val="continue"/>
            <w:tcBorders>
              <w:left w:val="single" w:color="auto" w:sz="4" w:space="0"/>
              <w:right w:val="single" w:color="auto" w:sz="4" w:space="0"/>
            </w:tcBorders>
            <w:vAlign w:val="center"/>
          </w:tcPr>
          <w:p>
            <w:pPr>
              <w:ind w:firstLine="105" w:firstLineChars="50"/>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rPr>
                <w:rFonts w:ascii="宋体" w:hAnsi="宋体" w:cs="宋体"/>
                <w:sz w:val="21"/>
                <w:szCs w:val="21"/>
              </w:rPr>
            </w:pPr>
          </w:p>
        </w:tc>
        <w:tc>
          <w:tcPr>
            <w:tcW w:w="1276" w:type="dxa"/>
            <w:tcBorders>
              <w:left w:val="single" w:color="auto" w:sz="4" w:space="0"/>
              <w:right w:val="single" w:color="auto" w:sz="4" w:space="0"/>
            </w:tcBorders>
            <w:vAlign w:val="center"/>
          </w:tcPr>
          <w:p>
            <w:pPr>
              <w:snapToGrid w:val="0"/>
              <w:jc w:val="center"/>
              <w:rPr>
                <w:rFonts w:ascii="宋体" w:hAnsi="宋体" w:cs="宋体"/>
                <w:color w:val="000000"/>
                <w:sz w:val="21"/>
                <w:szCs w:val="21"/>
              </w:rPr>
            </w:pPr>
            <w:r>
              <w:rPr>
                <w:rFonts w:hint="eastAsia" w:ascii="宋体" w:hAnsi="宋体" w:cs="宋体"/>
                <w:sz w:val="21"/>
                <w:szCs w:val="21"/>
              </w:rPr>
              <w:t xml:space="preserve"> </w:t>
            </w:r>
            <w:r>
              <w:rPr>
                <w:rFonts w:hint="eastAsia" w:ascii="宋体" w:hAnsi="宋体" w:cs="宋体"/>
                <w:color w:val="000000"/>
                <w:sz w:val="21"/>
                <w:szCs w:val="21"/>
              </w:rPr>
              <w:t>云平台</w:t>
            </w:r>
          </w:p>
          <w:p>
            <w:pPr>
              <w:snapToGrid w:val="0"/>
              <w:jc w:val="center"/>
              <w:rPr>
                <w:rFonts w:ascii="宋体" w:hAnsi="宋体" w:cs="宋体"/>
                <w:sz w:val="21"/>
                <w:szCs w:val="21"/>
              </w:rPr>
            </w:pPr>
            <w:r>
              <w:rPr>
                <w:rFonts w:hint="eastAsia" w:ascii="宋体" w:hAnsi="宋体" w:cs="宋体"/>
                <w:sz w:val="21"/>
                <w:szCs w:val="21"/>
              </w:rPr>
              <w:t>商业密码</w:t>
            </w:r>
          </w:p>
          <w:p>
            <w:pPr>
              <w:snapToGrid w:val="0"/>
              <w:jc w:val="center"/>
              <w:rPr>
                <w:rFonts w:ascii="宋体" w:hAnsi="宋体" w:cs="宋体"/>
                <w:sz w:val="21"/>
                <w:szCs w:val="21"/>
              </w:rPr>
            </w:pPr>
            <w:r>
              <w:rPr>
                <w:rFonts w:hint="eastAsia" w:ascii="宋体" w:hAnsi="宋体" w:cs="宋体"/>
                <w:sz w:val="21"/>
                <w:szCs w:val="21"/>
              </w:rPr>
              <w:t>安全性</w:t>
            </w:r>
            <w:r>
              <w:rPr>
                <w:rFonts w:hint="eastAsia" w:ascii="宋体" w:hAnsi="宋体" w:cs="宋体"/>
                <w:color w:val="000000"/>
                <w:sz w:val="21"/>
                <w:szCs w:val="21"/>
              </w:rPr>
              <w:t>评估</w:t>
            </w:r>
            <w:r>
              <w:rPr>
                <w:rFonts w:hint="eastAsia" w:ascii="宋体" w:hAnsi="宋体" w:cs="宋体"/>
                <w:sz w:val="21"/>
                <w:szCs w:val="21"/>
              </w:rPr>
              <w:t>(5分)</w:t>
            </w:r>
          </w:p>
        </w:tc>
        <w:tc>
          <w:tcPr>
            <w:tcW w:w="6550" w:type="dxa"/>
            <w:tcBorders>
              <w:top w:val="single" w:color="auto" w:sz="4" w:space="0"/>
              <w:left w:val="single" w:color="auto" w:sz="4" w:space="0"/>
              <w:right w:val="single" w:color="auto" w:sz="4" w:space="0"/>
            </w:tcBorders>
            <w:vAlign w:val="center"/>
          </w:tcPr>
          <w:p>
            <w:pPr>
              <w:snapToGrid w:val="0"/>
              <w:rPr>
                <w:rFonts w:ascii="宋体" w:hAnsi="宋体" w:cs="宋体"/>
                <w:color w:val="000000"/>
                <w:sz w:val="21"/>
                <w:szCs w:val="21"/>
              </w:rPr>
            </w:pPr>
            <w:r>
              <w:rPr>
                <w:rFonts w:hint="eastAsia" w:ascii="宋体" w:hAnsi="宋体" w:cs="宋体"/>
                <w:sz w:val="21"/>
                <w:szCs w:val="21"/>
              </w:rPr>
              <w:t>投标人需提供云平台商业密码安全性评估报告复印件（时间需在自2022年1月1日至本项目开标前一日内），评估结果符合密评第三级信息系统要求，评测报告持有人与投标人必须完全一致</w:t>
            </w:r>
            <w:r>
              <w:rPr>
                <w:rFonts w:hint="eastAsia" w:ascii="宋体" w:hAnsi="宋体" w:cs="宋体"/>
                <w:color w:val="000000"/>
                <w:sz w:val="21"/>
                <w:szCs w:val="21"/>
              </w:rPr>
              <w:t>得5分，未提供或不符合要求的不得分。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24"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w:t>
            </w:r>
          </w:p>
        </w:tc>
        <w:tc>
          <w:tcPr>
            <w:tcW w:w="109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技术</w:t>
            </w:r>
          </w:p>
          <w:p>
            <w:pPr>
              <w:snapToGrid w:val="0"/>
              <w:jc w:val="center"/>
              <w:rPr>
                <w:rFonts w:ascii="宋体" w:hAnsi="宋体" w:cs="宋体"/>
                <w:sz w:val="21"/>
                <w:szCs w:val="21"/>
              </w:rPr>
            </w:pPr>
            <w:r>
              <w:rPr>
                <w:rFonts w:hint="eastAsia" w:ascii="宋体" w:hAnsi="宋体" w:cs="宋体"/>
                <w:sz w:val="21"/>
                <w:szCs w:val="21"/>
              </w:rPr>
              <w:t>部分</w:t>
            </w:r>
          </w:p>
          <w:p>
            <w:pPr>
              <w:snapToGrid w:val="0"/>
              <w:jc w:val="center"/>
              <w:rPr>
                <w:rFonts w:ascii="宋体" w:hAnsi="宋体" w:cs="宋体"/>
                <w:sz w:val="21"/>
                <w:szCs w:val="21"/>
              </w:rPr>
            </w:pPr>
            <w:r>
              <w:rPr>
                <w:rFonts w:hint="eastAsia" w:ascii="宋体" w:hAnsi="宋体" w:cs="宋体"/>
                <w:sz w:val="21"/>
                <w:szCs w:val="21"/>
              </w:rPr>
              <w:t>（70分）</w:t>
            </w:r>
          </w:p>
        </w:tc>
        <w:tc>
          <w:tcPr>
            <w:tcW w:w="1276" w:type="dxa"/>
            <w:tcBorders>
              <w:top w:val="single" w:color="auto" w:sz="4" w:space="0"/>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云资源服务相应情况</w:t>
            </w:r>
          </w:p>
          <w:p>
            <w:pPr>
              <w:snapToGrid w:val="0"/>
              <w:jc w:val="center"/>
              <w:rPr>
                <w:rFonts w:ascii="宋体" w:hAnsi="宋体" w:cs="宋体"/>
                <w:sz w:val="21"/>
                <w:szCs w:val="21"/>
              </w:rPr>
            </w:pPr>
            <w:r>
              <w:rPr>
                <w:rFonts w:hint="eastAsia" w:ascii="宋体" w:hAnsi="宋体" w:cs="宋体"/>
                <w:sz w:val="21"/>
                <w:szCs w:val="21"/>
              </w:rPr>
              <w:t>（15分）</w:t>
            </w:r>
          </w:p>
        </w:tc>
        <w:tc>
          <w:tcPr>
            <w:tcW w:w="6550" w:type="dxa"/>
            <w:tcBorders>
              <w:top w:val="single" w:color="auto" w:sz="4" w:space="0"/>
              <w:left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投标产品的云资源服务项数量全部满足招标文件采购</w:t>
            </w:r>
            <w:r>
              <w:rPr>
                <w:rFonts w:ascii="宋体" w:hAnsi="宋体" w:cs="宋体"/>
                <w:sz w:val="21"/>
                <w:szCs w:val="21"/>
              </w:rPr>
              <w:t>需求</w:t>
            </w:r>
            <w:r>
              <w:rPr>
                <w:rFonts w:hint="eastAsia" w:ascii="宋体" w:hAnsi="宋体" w:cs="宋体"/>
                <w:sz w:val="21"/>
                <w:szCs w:val="21"/>
              </w:rPr>
              <w:t>“二、服务需求一览表”需求的得15分（共25项）；有1项不满足需求的，扣0.6分，最低得0分。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276" w:type="dxa"/>
            <w:tcBorders>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服务要求</w:t>
            </w:r>
          </w:p>
          <w:p>
            <w:pPr>
              <w:snapToGrid w:val="0"/>
              <w:jc w:val="center"/>
              <w:rPr>
                <w:rFonts w:ascii="宋体" w:hAnsi="宋体" w:cs="宋体"/>
                <w:sz w:val="21"/>
                <w:szCs w:val="21"/>
              </w:rPr>
            </w:pPr>
            <w:r>
              <w:rPr>
                <w:rFonts w:hint="eastAsia" w:ascii="宋体" w:hAnsi="宋体" w:cs="宋体"/>
                <w:sz w:val="21"/>
                <w:szCs w:val="21"/>
              </w:rPr>
              <w:t>响应情况（一）</w:t>
            </w:r>
          </w:p>
          <w:p>
            <w:pPr>
              <w:jc w:val="center"/>
              <w:rPr>
                <w:rFonts w:ascii="宋体" w:hAnsi="宋体" w:cs="宋体"/>
                <w:sz w:val="21"/>
                <w:szCs w:val="21"/>
              </w:rPr>
            </w:pPr>
            <w:r>
              <w:rPr>
                <w:rFonts w:hint="eastAsia" w:ascii="宋体" w:hAnsi="宋体" w:cs="宋体"/>
                <w:sz w:val="21"/>
                <w:szCs w:val="21"/>
              </w:rPr>
              <w:t>（15分）</w:t>
            </w: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投标人全部满足招标文件采购需求“三、服务要求 （一）1.政务云基础服务要求”15项要求的，得15分，有一项要求不满足或未响应的，在15分基础上扣1分，最低得0分。</w:t>
            </w:r>
          </w:p>
          <w:p>
            <w:pPr>
              <w:snapToGrid w:val="0"/>
              <w:rPr>
                <w:rFonts w:ascii="宋体" w:hAnsi="宋体" w:cs="宋体"/>
                <w:sz w:val="21"/>
                <w:szCs w:val="21"/>
              </w:rPr>
            </w:pPr>
            <w:r>
              <w:rPr>
                <w:rFonts w:hint="eastAsia" w:ascii="宋体" w:hAnsi="宋体" w:cs="宋体"/>
                <w:sz w:val="21"/>
                <w:szCs w:val="21"/>
              </w:rPr>
              <w:t>注：投标人需对政务云基础服务的15项要求进行逐条逐项答复、解释或说明；对于需要提供证明材料的项，无证明材料或证明材料内容与投标人响应内容不一致的，视为该项要求未响应。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276" w:type="dxa"/>
            <w:tcBorders>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服务要求</w:t>
            </w:r>
          </w:p>
          <w:p>
            <w:pPr>
              <w:snapToGrid w:val="0"/>
              <w:jc w:val="center"/>
              <w:rPr>
                <w:rFonts w:ascii="宋体" w:hAnsi="宋体" w:cs="宋体"/>
                <w:sz w:val="21"/>
                <w:szCs w:val="21"/>
              </w:rPr>
            </w:pPr>
            <w:r>
              <w:rPr>
                <w:rFonts w:hint="eastAsia" w:ascii="宋体" w:hAnsi="宋体" w:cs="宋体"/>
                <w:sz w:val="21"/>
                <w:szCs w:val="21"/>
              </w:rPr>
              <w:t>响应情况（二）</w:t>
            </w:r>
          </w:p>
          <w:p>
            <w:pPr>
              <w:jc w:val="center"/>
              <w:rPr>
                <w:rFonts w:ascii="宋体" w:hAnsi="宋体" w:cs="宋体"/>
                <w:sz w:val="21"/>
                <w:szCs w:val="21"/>
              </w:rPr>
            </w:pPr>
            <w:r>
              <w:rPr>
                <w:rFonts w:hint="eastAsia" w:ascii="宋体" w:hAnsi="宋体" w:cs="宋体"/>
                <w:sz w:val="21"/>
                <w:szCs w:val="21"/>
              </w:rPr>
              <w:t>（10分）</w:t>
            </w: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投标人全部满足或优于招标文件采购需求“三、服务要求 （一）2.政务云扩展服务要求”的（1）—（5）共5项要求的，得10分，有一项要求不满足的，在10分基础上扣2分，最低得0分。</w:t>
            </w:r>
          </w:p>
          <w:p>
            <w:pPr>
              <w:snapToGrid w:val="0"/>
              <w:rPr>
                <w:rFonts w:ascii="宋体" w:hAnsi="宋体" w:cs="宋体"/>
                <w:sz w:val="21"/>
                <w:szCs w:val="21"/>
              </w:rPr>
            </w:pPr>
            <w:r>
              <w:rPr>
                <w:rFonts w:hint="eastAsia" w:ascii="宋体" w:hAnsi="宋体" w:cs="宋体"/>
                <w:sz w:val="21"/>
                <w:szCs w:val="21"/>
              </w:rPr>
              <w:t>注：投标人需对政务云扩展服务的5项要求进行逐条逐项答复、解释或说明；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276" w:type="dxa"/>
            <w:tcBorders>
              <w:left w:val="single" w:color="auto" w:sz="4" w:space="0"/>
              <w:right w:val="single" w:color="auto" w:sz="4" w:space="0"/>
            </w:tcBorders>
            <w:vAlign w:val="center"/>
          </w:tcPr>
          <w:p>
            <w:pPr>
              <w:snapToGrid w:val="0"/>
              <w:jc w:val="center"/>
              <w:rPr>
                <w:rFonts w:ascii="宋体" w:hAnsi="宋体" w:cs="宋体"/>
                <w:color w:val="000000"/>
                <w:sz w:val="21"/>
                <w:szCs w:val="21"/>
              </w:rPr>
            </w:pPr>
            <w:r>
              <w:rPr>
                <w:rFonts w:hint="eastAsia" w:ascii="宋体" w:hAnsi="宋体" w:cs="宋体"/>
                <w:color w:val="000000"/>
                <w:sz w:val="21"/>
                <w:szCs w:val="21"/>
              </w:rPr>
              <w:t>网络安全等级保护备案</w:t>
            </w:r>
          </w:p>
          <w:p>
            <w:pPr>
              <w:snapToGrid w:val="0"/>
              <w:jc w:val="center"/>
              <w:rPr>
                <w:rFonts w:ascii="宋体" w:hAnsi="宋体" w:cs="宋体"/>
                <w:sz w:val="21"/>
                <w:szCs w:val="21"/>
              </w:rPr>
            </w:pPr>
            <w:r>
              <w:rPr>
                <w:rFonts w:hint="eastAsia" w:ascii="宋体" w:hAnsi="宋体" w:cs="宋体"/>
                <w:sz w:val="21"/>
                <w:szCs w:val="21"/>
              </w:rPr>
              <w:t>（5分）</w:t>
            </w: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color w:val="000000"/>
                <w:sz w:val="21"/>
                <w:szCs w:val="21"/>
              </w:rPr>
              <w:t>提供有效的投标人的政务云平台网络安全等级保护第三级备案证明复印件及等保评测报告关键页复印件（等保测评检测报告时间需在</w:t>
            </w:r>
            <w:r>
              <w:rPr>
                <w:rFonts w:hint="eastAsia" w:ascii="宋体" w:hAnsi="宋体" w:cs="宋体"/>
                <w:sz w:val="21"/>
                <w:szCs w:val="21"/>
              </w:rPr>
              <w:t>自2022年1月1日至本项目开标前一日</w:t>
            </w:r>
            <w:r>
              <w:rPr>
                <w:rFonts w:hint="eastAsia" w:ascii="宋体" w:hAnsi="宋体" w:cs="宋体"/>
                <w:color w:val="000000"/>
                <w:sz w:val="21"/>
                <w:szCs w:val="21"/>
              </w:rPr>
              <w:t>内），等保备案证明和评测报告的持有人与投标人必须完全一致得5分，未提供以上证明材料或不符合以上要求的得0分。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276" w:type="dxa"/>
            <w:tcBorders>
              <w:left w:val="single" w:color="auto" w:sz="4" w:space="0"/>
              <w:right w:val="single" w:color="auto" w:sz="4" w:space="0"/>
            </w:tcBorders>
            <w:vAlign w:val="center"/>
          </w:tcPr>
          <w:p>
            <w:pPr>
              <w:snapToGrid w:val="0"/>
              <w:jc w:val="center"/>
              <w:rPr>
                <w:rFonts w:ascii="宋体" w:hAnsi="宋体" w:cs="宋体"/>
                <w:color w:val="000000"/>
                <w:sz w:val="21"/>
                <w:szCs w:val="21"/>
              </w:rPr>
            </w:pPr>
            <w:r>
              <w:rPr>
                <w:rFonts w:hint="eastAsia" w:ascii="宋体" w:hAnsi="宋体" w:cs="宋体"/>
                <w:color w:val="000000"/>
                <w:sz w:val="21"/>
                <w:szCs w:val="21"/>
              </w:rPr>
              <w:t>云计算服务</w:t>
            </w:r>
          </w:p>
          <w:p>
            <w:pPr>
              <w:snapToGrid w:val="0"/>
              <w:jc w:val="center"/>
              <w:rPr>
                <w:rFonts w:ascii="宋体" w:hAnsi="宋体" w:cs="宋体"/>
                <w:color w:val="000000"/>
                <w:sz w:val="21"/>
                <w:szCs w:val="21"/>
              </w:rPr>
            </w:pPr>
            <w:r>
              <w:rPr>
                <w:rFonts w:hint="eastAsia" w:ascii="宋体" w:hAnsi="宋体" w:cs="宋体"/>
                <w:color w:val="000000"/>
                <w:sz w:val="21"/>
                <w:szCs w:val="21"/>
              </w:rPr>
              <w:t>安全评估</w:t>
            </w:r>
          </w:p>
          <w:p>
            <w:pPr>
              <w:snapToGrid w:val="0"/>
              <w:jc w:val="center"/>
              <w:rPr>
                <w:rFonts w:ascii="宋体" w:hAnsi="宋体" w:cs="宋体"/>
                <w:sz w:val="21"/>
                <w:szCs w:val="21"/>
              </w:rPr>
            </w:pPr>
            <w:r>
              <w:rPr>
                <w:rFonts w:hint="eastAsia" w:ascii="宋体" w:hAnsi="宋体" w:cs="宋体"/>
                <w:color w:val="000000"/>
                <w:sz w:val="21"/>
                <w:szCs w:val="21"/>
              </w:rPr>
              <w:t>（5）</w:t>
            </w: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sz w:val="21"/>
                <w:szCs w:val="21"/>
              </w:rPr>
            </w:pPr>
            <w:r>
              <w:rPr>
                <w:rFonts w:hint="eastAsia" w:ascii="宋体" w:hAnsi="宋体" w:cs="宋体"/>
                <w:color w:val="000000"/>
                <w:sz w:val="21"/>
                <w:szCs w:val="21"/>
              </w:rPr>
              <w:t>投标人提供有效的政务云通过中央网信办云计算服务安全评估证明材料，证明材料中的云服务商与投标人必须完全一致得5分，未提供或不符合要求的不得分。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276" w:type="dxa"/>
            <w:tcBorders>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项目</w:t>
            </w:r>
          </w:p>
          <w:p>
            <w:pPr>
              <w:snapToGrid w:val="0"/>
              <w:jc w:val="center"/>
              <w:rPr>
                <w:rFonts w:ascii="宋体" w:hAnsi="宋体" w:cs="宋体"/>
                <w:sz w:val="21"/>
                <w:szCs w:val="21"/>
              </w:rPr>
            </w:pPr>
            <w:r>
              <w:rPr>
                <w:rFonts w:hint="eastAsia" w:ascii="宋体" w:hAnsi="宋体" w:cs="宋体"/>
                <w:sz w:val="21"/>
                <w:szCs w:val="21"/>
              </w:rPr>
              <w:t>需求分析</w:t>
            </w:r>
          </w:p>
          <w:p>
            <w:pPr>
              <w:snapToGrid w:val="0"/>
              <w:jc w:val="center"/>
              <w:rPr>
                <w:rFonts w:ascii="宋体" w:hAnsi="宋体" w:cs="宋体"/>
                <w:sz w:val="21"/>
                <w:szCs w:val="21"/>
              </w:rPr>
            </w:pPr>
            <w:r>
              <w:rPr>
                <w:rFonts w:hint="eastAsia" w:ascii="宋体" w:hAnsi="宋体" w:cs="宋体"/>
                <w:sz w:val="21"/>
                <w:szCs w:val="21"/>
              </w:rPr>
              <w:t>（4分）</w:t>
            </w: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投标人针对采购需求所提供的项目需求分析，包括但不限于本项目的总体认识、理解和重难点分析等。</w:t>
            </w:r>
          </w:p>
          <w:p>
            <w:pPr>
              <w:snapToGrid w:val="0"/>
              <w:rPr>
                <w:rFonts w:ascii="宋体" w:hAnsi="宋体" w:cs="宋体"/>
                <w:sz w:val="21"/>
                <w:szCs w:val="21"/>
              </w:rPr>
            </w:pPr>
            <w:r>
              <w:rPr>
                <w:rFonts w:hint="eastAsia" w:ascii="宋体" w:hAnsi="宋体" w:cs="宋体"/>
                <w:sz w:val="21"/>
                <w:szCs w:val="21"/>
              </w:rPr>
              <w:t>项目针对性强，贴合项目需求，重难点分析全面到位：4分；</w:t>
            </w:r>
          </w:p>
          <w:p>
            <w:pPr>
              <w:snapToGrid w:val="0"/>
              <w:rPr>
                <w:rFonts w:ascii="宋体" w:hAnsi="宋体" w:cs="宋体"/>
                <w:sz w:val="21"/>
                <w:szCs w:val="21"/>
              </w:rPr>
            </w:pPr>
            <w:r>
              <w:rPr>
                <w:rFonts w:hint="eastAsia" w:ascii="宋体" w:hAnsi="宋体" w:cs="宋体"/>
                <w:sz w:val="21"/>
                <w:szCs w:val="21"/>
              </w:rPr>
              <w:t>项目针对性一般，基本符合项目需求，有重难点分析：2分；</w:t>
            </w:r>
          </w:p>
          <w:p>
            <w:pPr>
              <w:snapToGrid w:val="0"/>
              <w:rPr>
                <w:rFonts w:ascii="宋体" w:hAnsi="宋体" w:cs="宋体"/>
                <w:sz w:val="21"/>
                <w:szCs w:val="21"/>
              </w:rPr>
            </w:pPr>
            <w:r>
              <w:rPr>
                <w:rFonts w:hint="eastAsia" w:ascii="宋体" w:hAnsi="宋体" w:cs="宋体"/>
                <w:sz w:val="21"/>
                <w:szCs w:val="21"/>
              </w:rPr>
              <w:t>项目针对性不足，项目需求有重大偏离或内容缺失较多：1分；</w:t>
            </w:r>
          </w:p>
          <w:p>
            <w:pPr>
              <w:snapToGrid w:val="0"/>
              <w:rPr>
                <w:rFonts w:ascii="宋体" w:hAnsi="宋体" w:cs="宋体"/>
                <w:sz w:val="21"/>
                <w:szCs w:val="21"/>
              </w:rPr>
            </w:pPr>
            <w:r>
              <w:rPr>
                <w:rFonts w:hint="eastAsia" w:ascii="宋体" w:hAnsi="宋体" w:cs="宋体"/>
                <w:sz w:val="21"/>
                <w:szCs w:val="21"/>
              </w:rPr>
              <w:t>未提供项目需求分析：0分。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3"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276" w:type="dxa"/>
            <w:tcBorders>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项目</w:t>
            </w:r>
          </w:p>
          <w:p>
            <w:pPr>
              <w:snapToGrid w:val="0"/>
              <w:jc w:val="center"/>
              <w:rPr>
                <w:rFonts w:ascii="宋体" w:hAnsi="宋体" w:cs="宋体"/>
                <w:sz w:val="21"/>
                <w:szCs w:val="21"/>
              </w:rPr>
            </w:pPr>
            <w:r>
              <w:rPr>
                <w:rFonts w:hint="eastAsia" w:ascii="宋体" w:hAnsi="宋体" w:cs="宋体"/>
                <w:sz w:val="21"/>
                <w:szCs w:val="21"/>
              </w:rPr>
              <w:t>实施方案</w:t>
            </w:r>
          </w:p>
          <w:p>
            <w:pPr>
              <w:snapToGrid w:val="0"/>
              <w:jc w:val="center"/>
              <w:rPr>
                <w:rFonts w:ascii="宋体" w:hAnsi="宋体" w:cs="宋体"/>
                <w:sz w:val="21"/>
                <w:szCs w:val="21"/>
              </w:rPr>
            </w:pPr>
            <w:r>
              <w:rPr>
                <w:rFonts w:hint="eastAsia" w:ascii="宋体" w:hAnsi="宋体" w:cs="宋体"/>
                <w:sz w:val="21"/>
                <w:szCs w:val="21"/>
              </w:rPr>
              <w:t>（4分）</w:t>
            </w:r>
          </w:p>
        </w:tc>
        <w:tc>
          <w:tcPr>
            <w:tcW w:w="6550" w:type="dxa"/>
            <w:tcBorders>
              <w:top w:val="single" w:color="auto" w:sz="4" w:space="0"/>
              <w:left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投标人提供的项目实施方案描述详细具体，详细阐述了本项目政务云服务的基础设施、网络安全、管理制度等方案，详细阐述了北京新媒体集团播出信号监测软件功能、部署方案、监测能力，针对性强，得4分；</w:t>
            </w:r>
          </w:p>
          <w:p>
            <w:pPr>
              <w:snapToGrid w:val="0"/>
              <w:rPr>
                <w:rFonts w:ascii="宋体" w:hAnsi="宋体" w:cs="宋体"/>
                <w:sz w:val="21"/>
                <w:szCs w:val="21"/>
              </w:rPr>
            </w:pPr>
            <w:r>
              <w:rPr>
                <w:rFonts w:hint="eastAsia" w:ascii="宋体" w:hAnsi="宋体" w:cs="宋体"/>
                <w:sz w:val="21"/>
                <w:szCs w:val="21"/>
              </w:rPr>
              <w:t>投标人的项目实施方案描述基本全面，能够阐述本项目政务云服务的基础设施、网络安全、管理制度等方案，能够阐述北京新媒体集团播出信号监测软件功能、部署方案、监测能力，对本项目具有一定的针对性，得3分；</w:t>
            </w:r>
          </w:p>
          <w:p>
            <w:pPr>
              <w:snapToGrid w:val="0"/>
              <w:rPr>
                <w:rFonts w:ascii="宋体" w:hAnsi="宋体" w:cs="宋体"/>
                <w:sz w:val="21"/>
                <w:szCs w:val="21"/>
              </w:rPr>
            </w:pPr>
            <w:r>
              <w:rPr>
                <w:rFonts w:hint="eastAsia" w:ascii="宋体" w:hAnsi="宋体" w:cs="宋体"/>
                <w:sz w:val="21"/>
                <w:szCs w:val="21"/>
              </w:rPr>
              <w:t>投标人对项目实施方案具有一定的描述，能够涵盖本项目政务云服务的基础设施、网络安全、管理制度等方案，能够涵盖北京新媒体集团播出信号监测软件功能、部署方案、监测能力，但描述不具体，对本项目具有部分针对性，得2分；</w:t>
            </w:r>
          </w:p>
          <w:p>
            <w:pPr>
              <w:snapToGrid w:val="0"/>
              <w:rPr>
                <w:rFonts w:ascii="宋体" w:hAnsi="宋体" w:cs="宋体"/>
                <w:sz w:val="21"/>
                <w:szCs w:val="21"/>
              </w:rPr>
            </w:pPr>
            <w:r>
              <w:rPr>
                <w:rFonts w:hint="eastAsia" w:ascii="宋体" w:hAnsi="宋体" w:cs="宋体"/>
                <w:sz w:val="21"/>
                <w:szCs w:val="21"/>
              </w:rPr>
              <w:t>投标人对项目实施方案有描述，能够提及本项目政务云服务的基础设施、网络安全、管理制度等方案，能够提及北京新媒体集团播出信号监测软件功能、部署方案、监测能力，但描述不具体，或对本项目不具有针对性，得1分；</w:t>
            </w:r>
          </w:p>
          <w:p>
            <w:pPr>
              <w:snapToGrid w:val="0"/>
              <w:rPr>
                <w:rFonts w:ascii="宋体" w:hAnsi="宋体" w:cs="宋体"/>
                <w:sz w:val="21"/>
                <w:szCs w:val="21"/>
              </w:rPr>
            </w:pPr>
            <w:r>
              <w:rPr>
                <w:rFonts w:hint="eastAsia" w:ascii="宋体" w:hAnsi="宋体" w:cs="宋体"/>
                <w:sz w:val="21"/>
                <w:szCs w:val="21"/>
              </w:rPr>
              <w:t>投标人的项目实施方案对本项目完全不具有针对性，或未提供项目实施方案，得0分。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运维和应急预案</w:t>
            </w:r>
          </w:p>
          <w:p>
            <w:pPr>
              <w:snapToGrid w:val="0"/>
              <w:jc w:val="center"/>
              <w:rPr>
                <w:rFonts w:ascii="宋体" w:hAnsi="宋体" w:cs="宋体"/>
                <w:sz w:val="21"/>
                <w:szCs w:val="21"/>
              </w:rPr>
            </w:pPr>
            <w:r>
              <w:rPr>
                <w:rFonts w:hint="eastAsia" w:ascii="宋体" w:hAnsi="宋体" w:cs="宋体"/>
                <w:sz w:val="21"/>
                <w:szCs w:val="21"/>
              </w:rPr>
              <w:t>（7分）</w:t>
            </w: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投标人的运维方案和应急预案描述详细具体，详细明确阐述了针对不同情况的应急预案，包括运维制度、安全服务方案、风险分析及应对措施等，合理可行、针对性很强，得7分；</w:t>
            </w:r>
          </w:p>
          <w:p>
            <w:pPr>
              <w:snapToGrid w:val="0"/>
              <w:rPr>
                <w:rFonts w:ascii="宋体" w:hAnsi="宋体" w:cs="宋体"/>
                <w:sz w:val="21"/>
                <w:szCs w:val="21"/>
              </w:rPr>
            </w:pPr>
            <w:r>
              <w:rPr>
                <w:rFonts w:hint="eastAsia" w:ascii="宋体" w:hAnsi="宋体" w:cs="宋体"/>
                <w:sz w:val="21"/>
                <w:szCs w:val="21"/>
              </w:rPr>
              <w:t>投标人的运维方案和应急预案描述全面，能够阐述针对不同情况的应急预案，包括项目运维制度、安全服务方案、风险分析及应对措施等，具有对本项目的针对性，得4分；</w:t>
            </w:r>
          </w:p>
          <w:p>
            <w:pPr>
              <w:snapToGrid w:val="0"/>
              <w:rPr>
                <w:rFonts w:ascii="宋体" w:hAnsi="宋体" w:cs="宋体"/>
                <w:sz w:val="21"/>
                <w:szCs w:val="21"/>
              </w:rPr>
            </w:pPr>
            <w:r>
              <w:rPr>
                <w:rFonts w:hint="eastAsia" w:ascii="宋体" w:hAnsi="宋体" w:cs="宋体"/>
                <w:sz w:val="21"/>
                <w:szCs w:val="21"/>
              </w:rPr>
              <w:t>投标人对运维方案和应急预案具有一定的描述，能够涵盖不同情况的应急预案，但描述不具体，对本项目具有部分针对性，得3分；</w:t>
            </w:r>
          </w:p>
          <w:p>
            <w:pPr>
              <w:snapToGrid w:val="0"/>
              <w:rPr>
                <w:rFonts w:ascii="宋体" w:hAnsi="宋体" w:cs="宋体"/>
                <w:sz w:val="21"/>
                <w:szCs w:val="21"/>
              </w:rPr>
            </w:pPr>
            <w:r>
              <w:rPr>
                <w:rFonts w:hint="eastAsia" w:ascii="宋体" w:hAnsi="宋体" w:cs="宋体"/>
                <w:sz w:val="21"/>
                <w:szCs w:val="21"/>
              </w:rPr>
              <w:t>投标人对运维方案和应急预案有提及，应急预案考虑不全，得1分；</w:t>
            </w:r>
          </w:p>
          <w:p>
            <w:pPr>
              <w:snapToGrid w:val="0"/>
              <w:rPr>
                <w:rFonts w:ascii="宋体" w:hAnsi="宋体" w:cs="宋体"/>
                <w:sz w:val="21"/>
                <w:szCs w:val="21"/>
              </w:rPr>
            </w:pPr>
            <w:r>
              <w:rPr>
                <w:rFonts w:hint="eastAsia" w:ascii="宋体" w:hAnsi="宋体" w:cs="宋体"/>
                <w:sz w:val="21"/>
                <w:szCs w:val="21"/>
              </w:rPr>
              <w:t>方案对本项目完全不具有针对性，或未提供预案，得0分。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right w:val="single" w:color="auto" w:sz="4" w:space="0"/>
            </w:tcBorders>
            <w:vAlign w:val="center"/>
          </w:tcPr>
          <w:p>
            <w:pPr>
              <w:jc w:val="center"/>
              <w:rPr>
                <w:rFonts w:ascii="宋体" w:hAnsi="宋体" w:cs="宋体"/>
                <w:sz w:val="21"/>
                <w:szCs w:val="21"/>
              </w:rPr>
            </w:pPr>
          </w:p>
        </w:tc>
        <w:tc>
          <w:tcPr>
            <w:tcW w:w="1276" w:type="dxa"/>
            <w:tcBorders>
              <w:top w:val="single" w:color="auto" w:sz="4" w:space="0"/>
              <w:left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项目团队(一)</w:t>
            </w:r>
          </w:p>
          <w:p>
            <w:pPr>
              <w:snapToGrid w:val="0"/>
              <w:jc w:val="center"/>
              <w:rPr>
                <w:rFonts w:ascii="宋体" w:hAnsi="宋体" w:cs="宋体"/>
                <w:sz w:val="21"/>
                <w:szCs w:val="21"/>
              </w:rPr>
            </w:pPr>
            <w:r>
              <w:rPr>
                <w:rFonts w:hint="eastAsia" w:ascii="宋体" w:hAnsi="宋体" w:cs="宋体"/>
                <w:sz w:val="21"/>
                <w:szCs w:val="21"/>
              </w:rPr>
              <w:t>（4分）</w:t>
            </w: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（1）投标人拟派的项目经理或负责人具有信息系统项目管理师（高级）且具有5年以上（含）类似工作经验的，得1分；否则得0分。</w:t>
            </w:r>
          </w:p>
          <w:p>
            <w:pPr>
              <w:snapToGrid w:val="0"/>
              <w:rPr>
                <w:rFonts w:ascii="宋体" w:hAnsi="宋体" w:cs="宋体"/>
                <w:sz w:val="21"/>
                <w:szCs w:val="21"/>
              </w:rPr>
            </w:pPr>
            <w:r>
              <w:rPr>
                <w:rFonts w:hint="eastAsia" w:ascii="宋体" w:hAnsi="宋体" w:cs="宋体"/>
                <w:sz w:val="21"/>
                <w:szCs w:val="21"/>
              </w:rPr>
              <w:t>（2）项目组成员（不含项目经理或负责人）中每有一个具有CISP或CISSP资质证书的技术人员得0.5分，最高得3分。（每人最多得0.5分）</w:t>
            </w:r>
          </w:p>
          <w:p>
            <w:pPr>
              <w:snapToGrid w:val="0"/>
              <w:rPr>
                <w:rFonts w:ascii="宋体" w:hAnsi="宋体" w:cs="宋体"/>
                <w:sz w:val="21"/>
                <w:szCs w:val="21"/>
              </w:rPr>
            </w:pPr>
            <w:r>
              <w:rPr>
                <w:rFonts w:hint="eastAsia" w:ascii="宋体" w:hAnsi="宋体" w:cs="宋体"/>
                <w:sz w:val="21"/>
                <w:szCs w:val="21"/>
              </w:rPr>
              <w:t>（需提供工作经验证明材料和相关证书复印件并加盖投标人公章，否则不得分）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4"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095"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276" w:type="dxa"/>
            <w:tcBorders>
              <w:left w:val="single" w:color="auto" w:sz="4" w:space="0"/>
              <w:bottom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项目团队(二)</w:t>
            </w:r>
          </w:p>
          <w:p>
            <w:pPr>
              <w:pStyle w:val="2"/>
              <w:ind w:firstLine="210" w:firstLineChars="100"/>
            </w:pPr>
            <w:r>
              <w:rPr>
                <w:rFonts w:hint="eastAsia" w:hAnsi="宋体"/>
                <w:sz w:val="21"/>
                <w:szCs w:val="21"/>
              </w:rPr>
              <w:t>（1分）</w:t>
            </w:r>
          </w:p>
          <w:p>
            <w:pPr>
              <w:jc w:val="center"/>
              <w:rPr>
                <w:rFonts w:ascii="宋体" w:hAnsi="宋体" w:cs="宋体"/>
                <w:sz w:val="21"/>
                <w:szCs w:val="21"/>
              </w:rPr>
            </w:pPr>
          </w:p>
        </w:tc>
        <w:tc>
          <w:tcPr>
            <w:tcW w:w="655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sz w:val="21"/>
                <w:szCs w:val="21"/>
              </w:rPr>
              <w:t>团队人员组成专业结构合理、职责清晰明确，描述具体，具有针对性，得1分，否则不得分。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w:t>
            </w:r>
          </w:p>
        </w:tc>
        <w:tc>
          <w:tcPr>
            <w:tcW w:w="10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1"/>
                <w:szCs w:val="21"/>
              </w:rPr>
            </w:pPr>
            <w:r>
              <w:rPr>
                <w:rFonts w:hint="eastAsia" w:ascii="宋体" w:hAnsi="宋体" w:cs="宋体"/>
                <w:sz w:val="21"/>
                <w:szCs w:val="21"/>
              </w:rPr>
              <w:t>价格</w:t>
            </w:r>
          </w:p>
          <w:p>
            <w:pPr>
              <w:snapToGrid w:val="0"/>
              <w:jc w:val="center"/>
              <w:rPr>
                <w:rFonts w:ascii="宋体" w:hAnsi="宋体" w:cs="宋体"/>
                <w:sz w:val="21"/>
                <w:szCs w:val="21"/>
              </w:rPr>
            </w:pPr>
            <w:r>
              <w:rPr>
                <w:rFonts w:hint="eastAsia" w:ascii="宋体" w:hAnsi="宋体" w:cs="宋体"/>
                <w:sz w:val="21"/>
                <w:szCs w:val="21"/>
              </w:rPr>
              <w:t>（10分）</w:t>
            </w:r>
          </w:p>
        </w:tc>
        <w:tc>
          <w:tcPr>
            <w:tcW w:w="7826"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1"/>
                <w:szCs w:val="21"/>
              </w:rPr>
            </w:pPr>
            <w:r>
              <w:rPr>
                <w:rFonts w:hint="eastAsia" w:ascii="宋体" w:hAnsi="宋体" w:cs="宋体"/>
                <w:color w:val="000000"/>
                <w:sz w:val="21"/>
                <w:szCs w:val="21"/>
              </w:rPr>
              <w:t>价格分采用低价优先法计算，即满足招标文件要求且投标价格最低的投标报价为评标基准价，其价格分为满分，其他投标人的价格分统一按下列公式计算：投标报价得分=（评标基准价/投标报价）×价格权值×100。</w:t>
            </w:r>
          </w:p>
        </w:tc>
      </w:tr>
    </w:tbl>
    <w:p>
      <w:pPr>
        <w:spacing w:line="360" w:lineRule="auto"/>
        <w:rPr>
          <w:rFonts w:ascii="宋体" w:hAnsi="宋体" w:cs="宋体"/>
          <w:b/>
          <w:sz w:val="21"/>
          <w:szCs w:val="21"/>
        </w:rPr>
      </w:pPr>
    </w:p>
    <w:p>
      <w:pPr>
        <w:snapToGrid w:val="0"/>
        <w:spacing w:line="360" w:lineRule="auto"/>
        <w:rPr>
          <w:rFonts w:ascii="宋体" w:hAnsi="宋体"/>
          <w:sz w:val="21"/>
          <w:szCs w:val="21"/>
        </w:rPr>
      </w:pPr>
    </w:p>
    <w:p>
      <w:pPr>
        <w:rPr>
          <w:rFonts w:ascii="宋体" w:hAnsi="宋体"/>
          <w:sz w:val="21"/>
          <w:szCs w:val="21"/>
        </w:rPr>
      </w:pPr>
    </w:p>
    <w:p/>
    <w:p>
      <w:pPr>
        <w:spacing w:line="302" w:lineRule="auto"/>
        <w:rPr>
          <w:rFonts w:ascii="宋体" w:hAnsi="宋体" w:cs="微软雅黑"/>
          <w:color w:val="000000"/>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ind w:firstLine="480"/>
        <w:rPr>
          <w:rFonts w:cs="Helvetica"/>
          <w:color w:val="333333"/>
          <w:sz w:val="21"/>
          <w:szCs w:val="21"/>
        </w:rPr>
      </w:pPr>
    </w:p>
    <w:p>
      <w:pPr>
        <w:pStyle w:val="40"/>
        <w:spacing w:before="0" w:beforeAutospacing="0" w:after="0" w:afterAutospacing="0" w:line="360" w:lineRule="atLeast"/>
        <w:rPr>
          <w:rFonts w:cs="Helvetica"/>
          <w:color w:val="333333"/>
          <w:sz w:val="21"/>
          <w:szCs w:val="21"/>
        </w:rPr>
      </w:pPr>
    </w:p>
    <w:p>
      <w:pPr>
        <w:pStyle w:val="40"/>
        <w:spacing w:before="0" w:beforeAutospacing="0" w:after="0" w:afterAutospacing="0" w:line="360" w:lineRule="atLeast"/>
        <w:rPr>
          <w:rFonts w:cs="Helvetica"/>
          <w:color w:val="333333"/>
          <w:sz w:val="21"/>
          <w:szCs w:val="21"/>
        </w:rPr>
      </w:pPr>
    </w:p>
    <w:p>
      <w:pPr>
        <w:pStyle w:val="29"/>
        <w:numPr>
          <w:ilvl w:val="0"/>
          <w:numId w:val="0"/>
        </w:numPr>
        <w:snapToGrid w:val="0"/>
        <w:spacing w:before="0" w:after="0"/>
        <w:jc w:val="left"/>
        <w:rPr>
          <w:rFonts w:ascii="宋体" w:hAnsi="宋体"/>
          <w:szCs w:val="28"/>
        </w:rPr>
      </w:pPr>
      <w:bookmarkStart w:id="77" w:name="_Toc23703"/>
      <w:bookmarkStart w:id="78" w:name="_Toc466015315"/>
      <w:bookmarkStart w:id="79" w:name="_Toc328816004"/>
      <w:bookmarkStart w:id="80" w:name="_Toc174185201"/>
      <w:bookmarkStart w:id="81" w:name="_Toc186274124"/>
    </w:p>
    <w:p>
      <w:pPr>
        <w:pStyle w:val="29"/>
        <w:snapToGrid w:val="0"/>
        <w:spacing w:before="0" w:after="0"/>
        <w:ind w:left="0"/>
        <w:rPr>
          <w:rFonts w:ascii="宋体" w:hAnsi="宋体"/>
          <w:szCs w:val="28"/>
        </w:rPr>
      </w:pPr>
      <w:r>
        <w:rPr>
          <w:rFonts w:hint="eastAsia" w:ascii="宋体" w:hAnsi="宋体"/>
        </w:rPr>
        <w:t xml:space="preserve">  政府采购合同</w:t>
      </w:r>
      <w:bookmarkEnd w:id="77"/>
      <w:bookmarkEnd w:id="78"/>
      <w:bookmarkEnd w:id="79"/>
    </w:p>
    <w:p>
      <w:pPr>
        <w:spacing w:line="400" w:lineRule="exact"/>
        <w:jc w:val="center"/>
        <w:rPr>
          <w:rFonts w:ascii="宋体" w:hAnsi="宋体" w:cs="微软雅黑"/>
          <w:b/>
          <w:bCs/>
          <w:sz w:val="21"/>
          <w:szCs w:val="21"/>
        </w:rPr>
      </w:pPr>
      <w:r>
        <w:rPr>
          <w:rFonts w:ascii="宋体" w:hAnsi="宋体"/>
          <w:sz w:val="21"/>
          <w:szCs w:val="21"/>
        </w:rPr>
        <w:t xml:space="preserve"> </w:t>
      </w:r>
      <w:r>
        <w:rPr>
          <w:rFonts w:hint="eastAsia" w:ascii="宋体" w:hAnsi="宋体" w:cs="微软雅黑"/>
          <w:b/>
          <w:bCs/>
          <w:sz w:val="21"/>
          <w:szCs w:val="21"/>
        </w:rPr>
        <w:t>（此合同仅供参考。以最终采购人与中标人签</w:t>
      </w:r>
      <w:r>
        <w:rPr>
          <w:rFonts w:hint="eastAsia" w:ascii="宋体" w:hAnsi="宋体" w:cs="微软雅黑"/>
          <w:b/>
          <w:bCs/>
          <w:sz w:val="21"/>
          <w:szCs w:val="21"/>
          <w:lang w:val="en-US" w:eastAsia="zh-CN"/>
        </w:rPr>
        <w:t>订</w:t>
      </w:r>
      <w:r>
        <w:rPr>
          <w:rFonts w:hint="eastAsia" w:ascii="宋体" w:hAnsi="宋体" w:cs="微软雅黑"/>
          <w:b/>
          <w:bCs/>
          <w:sz w:val="21"/>
          <w:szCs w:val="21"/>
        </w:rPr>
        <w:t>的合同条款为准进行公示，</w:t>
      </w:r>
    </w:p>
    <w:p>
      <w:pPr>
        <w:spacing w:line="400" w:lineRule="exact"/>
        <w:jc w:val="center"/>
        <w:rPr>
          <w:rFonts w:ascii="宋体" w:hAnsi="宋体" w:cs="微软雅黑"/>
          <w:b/>
          <w:bCs/>
          <w:sz w:val="21"/>
          <w:szCs w:val="21"/>
        </w:rPr>
      </w:pPr>
      <w:r>
        <w:rPr>
          <w:rFonts w:hint="eastAsia" w:ascii="宋体" w:hAnsi="宋体" w:cs="微软雅黑"/>
          <w:b/>
          <w:bCs/>
          <w:sz w:val="21"/>
          <w:szCs w:val="21"/>
        </w:rPr>
        <w:t>最终签</w:t>
      </w:r>
      <w:r>
        <w:rPr>
          <w:rFonts w:hint="eastAsia" w:ascii="宋体" w:hAnsi="宋体" w:cs="微软雅黑"/>
          <w:b/>
          <w:bCs/>
          <w:sz w:val="21"/>
          <w:szCs w:val="21"/>
          <w:lang w:val="en-US" w:eastAsia="zh-CN"/>
        </w:rPr>
        <w:t>订</w:t>
      </w:r>
      <w:bookmarkStart w:id="89" w:name="_GoBack"/>
      <w:bookmarkEnd w:id="89"/>
      <w:r>
        <w:rPr>
          <w:rFonts w:hint="eastAsia" w:ascii="宋体" w:hAnsi="宋体" w:cs="微软雅黑"/>
          <w:b/>
          <w:bCs/>
          <w:sz w:val="21"/>
          <w:szCs w:val="21"/>
        </w:rPr>
        <w:t>合同的主要条款不能与招标文件有冲突）</w:t>
      </w:r>
    </w:p>
    <w:p>
      <w:pPr>
        <w:pStyle w:val="29"/>
        <w:numPr>
          <w:ilvl w:val="0"/>
          <w:numId w:val="0"/>
        </w:numPr>
        <w:snapToGrid w:val="0"/>
        <w:spacing w:before="0" w:after="0"/>
        <w:rPr>
          <w:rFonts w:ascii="宋体" w:hAnsi="宋体"/>
          <w:sz w:val="32"/>
          <w:szCs w:val="32"/>
        </w:rPr>
      </w:pPr>
    </w:p>
    <w:p>
      <w:pPr>
        <w:pStyle w:val="29"/>
        <w:numPr>
          <w:ilvl w:val="0"/>
          <w:numId w:val="0"/>
        </w:numPr>
        <w:snapToGrid w:val="0"/>
        <w:spacing w:before="0" w:after="0"/>
        <w:rPr>
          <w:rFonts w:cs="微软雅黑"/>
          <w:sz w:val="21"/>
          <w:szCs w:val="21"/>
        </w:rPr>
      </w:pPr>
      <w:r>
        <w:rPr>
          <w:rFonts w:hint="eastAsia" w:ascii="宋体" w:hAnsi="宋体"/>
          <w:sz w:val="32"/>
          <w:szCs w:val="32"/>
        </w:rPr>
        <w:t>监测调度网络和政务云租用</w:t>
      </w:r>
    </w:p>
    <w:p>
      <w:pPr>
        <w:pStyle w:val="29"/>
        <w:numPr>
          <w:ilvl w:val="0"/>
          <w:numId w:val="0"/>
        </w:numPr>
        <w:snapToGrid w:val="0"/>
        <w:spacing w:before="0" w:after="0"/>
        <w:rPr>
          <w:rFonts w:cs="微软雅黑"/>
          <w:sz w:val="21"/>
          <w:szCs w:val="21"/>
        </w:rPr>
      </w:pPr>
    </w:p>
    <w:p>
      <w:pPr>
        <w:pStyle w:val="29"/>
        <w:numPr>
          <w:ilvl w:val="0"/>
          <w:numId w:val="0"/>
        </w:numPr>
        <w:snapToGrid w:val="0"/>
        <w:spacing w:before="0" w:after="0"/>
        <w:rPr>
          <w:rFonts w:ascii="宋体" w:hAnsi="宋体"/>
          <w:sz w:val="21"/>
          <w:szCs w:val="21"/>
        </w:rPr>
      </w:pPr>
      <w:r>
        <w:rPr>
          <w:rFonts w:hint="eastAsia" w:cs="微软雅黑"/>
          <w:sz w:val="21"/>
          <w:szCs w:val="21"/>
        </w:rPr>
        <w:t>第一包  广播电视监测监管网络租用</w:t>
      </w:r>
    </w:p>
    <w:p>
      <w:pPr>
        <w:pStyle w:val="12"/>
        <w:spacing w:line="480" w:lineRule="auto"/>
        <w:jc w:val="center"/>
        <w:rPr>
          <w:rFonts w:cs="Arial" w:asciiTheme="minorEastAsia" w:hAnsiTheme="minorEastAsia" w:eastAsiaTheme="minorEastAsia"/>
          <w:b/>
          <w:bCs/>
        </w:rPr>
      </w:pPr>
      <w:r>
        <w:rPr>
          <w:rFonts w:hint="eastAsia" w:cs="Arial" w:asciiTheme="minorEastAsia" w:hAnsiTheme="minorEastAsia" w:eastAsiaTheme="minorEastAsia"/>
          <w:b/>
          <w:bCs/>
        </w:rPr>
        <w:t>合同书</w:t>
      </w:r>
    </w:p>
    <w:p>
      <w:pPr>
        <w:pStyle w:val="7"/>
        <w:spacing w:line="480" w:lineRule="auto"/>
        <w:ind w:firstLine="48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 xml:space="preserve"> </w:t>
      </w:r>
    </w:p>
    <w:p>
      <w:pPr>
        <w:pStyle w:val="7"/>
        <w:spacing w:line="480" w:lineRule="auto"/>
        <w:ind w:firstLine="48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 xml:space="preserve"> </w:t>
      </w:r>
    </w:p>
    <w:p>
      <w:pPr>
        <w:pStyle w:val="12"/>
        <w:spacing w:line="480" w:lineRule="auto"/>
        <w:ind w:firstLine="527" w:firstLineChars="250"/>
        <w:rPr>
          <w:rFonts w:cs="Arial" w:asciiTheme="minorEastAsia" w:hAnsiTheme="minorEastAsia" w:eastAsiaTheme="minorEastAsia"/>
        </w:rPr>
      </w:pPr>
      <w:r>
        <w:rPr>
          <w:rFonts w:hint="eastAsia" w:cs="Arial" w:asciiTheme="minorEastAsia" w:hAnsiTheme="minorEastAsia" w:eastAsiaTheme="minorEastAsia"/>
          <w:b/>
          <w:bCs/>
        </w:rPr>
        <w:t>合同编号</w:t>
      </w:r>
      <w:r>
        <w:rPr>
          <w:rFonts w:hint="eastAsia" w:cs="Arial" w:asciiTheme="minorEastAsia" w:hAnsiTheme="minorEastAsia" w:eastAsiaTheme="minorEastAsia"/>
        </w:rPr>
        <w:t>：</w:t>
      </w:r>
      <w:r>
        <w:rPr>
          <w:rFonts w:hint="eastAsia" w:cs="Arial" w:asciiTheme="minorEastAsia" w:hAnsiTheme="minorEastAsia" w:eastAsiaTheme="minorEastAsia"/>
          <w:u w:val="single"/>
        </w:rPr>
        <w:t>JCZX-ZY-2023-1</w:t>
      </w:r>
    </w:p>
    <w:p>
      <w:pPr>
        <w:spacing w:line="480" w:lineRule="auto"/>
        <w:rPr>
          <w:rFonts w:cs="Arial" w:asciiTheme="minorEastAsia" w:hAnsiTheme="minorEastAsia" w:eastAsiaTheme="minorEastAsia"/>
          <w:sz w:val="21"/>
          <w:szCs w:val="21"/>
        </w:rPr>
      </w:pPr>
      <w:r>
        <w:rPr>
          <w:rFonts w:hint="eastAsia" w:cs="Arial" w:asciiTheme="minorEastAsia" w:hAnsiTheme="minorEastAsia" w:eastAsiaTheme="minorEastAsia"/>
          <w:b/>
          <w:bCs/>
          <w:sz w:val="21"/>
          <w:szCs w:val="21"/>
        </w:rPr>
        <w:t xml:space="preserve">     招标编号：</w:t>
      </w:r>
      <w:r>
        <w:rPr>
          <w:rFonts w:hint="eastAsia" w:cs="Arial" w:asciiTheme="minorEastAsia" w:hAnsiTheme="minorEastAsia" w:eastAsiaTheme="minorEastAsia"/>
          <w:sz w:val="21"/>
          <w:szCs w:val="21"/>
          <w:u w:val="single"/>
        </w:rPr>
        <w:t xml:space="preserve">              </w:t>
      </w:r>
    </w:p>
    <w:p>
      <w:pPr>
        <w:ind w:firstLine="527" w:firstLineChars="250"/>
        <w:rPr>
          <w:rFonts w:cs="Arial" w:asciiTheme="minorEastAsia" w:hAnsiTheme="minorEastAsia" w:eastAsiaTheme="minorEastAsia"/>
          <w:sz w:val="21"/>
          <w:szCs w:val="21"/>
          <w:u w:val="single"/>
        </w:rPr>
      </w:pPr>
      <w:r>
        <w:rPr>
          <w:rFonts w:hint="eastAsia" w:cs="Arial" w:asciiTheme="minorEastAsia" w:hAnsiTheme="minorEastAsia" w:eastAsiaTheme="minorEastAsia"/>
          <w:b/>
          <w:bCs/>
          <w:sz w:val="21"/>
          <w:szCs w:val="21"/>
        </w:rPr>
        <w:t>项目名称：</w:t>
      </w:r>
      <w:r>
        <w:rPr>
          <w:rFonts w:hint="eastAsia" w:cs="Arial" w:asciiTheme="minorEastAsia" w:hAnsiTheme="minorEastAsia" w:eastAsiaTheme="minorEastAsia"/>
          <w:sz w:val="21"/>
          <w:szCs w:val="21"/>
          <w:u w:val="single"/>
        </w:rPr>
        <w:t>监测调度网络和政务云租用</w:t>
      </w:r>
    </w:p>
    <w:p>
      <w:pPr>
        <w:ind w:firstLine="840" w:firstLineChars="400"/>
        <w:rPr>
          <w:rFonts w:cs="Arial" w:asciiTheme="minorEastAsia" w:hAnsiTheme="minorEastAsia" w:eastAsiaTheme="minorEastAsia"/>
          <w:b/>
          <w:bCs/>
          <w:sz w:val="21"/>
          <w:szCs w:val="21"/>
        </w:rPr>
      </w:pPr>
      <w:r>
        <w:rPr>
          <w:rFonts w:hint="eastAsia" w:cs="Arial" w:asciiTheme="minorEastAsia" w:hAnsiTheme="minorEastAsia" w:eastAsiaTheme="minorEastAsia"/>
          <w:sz w:val="21"/>
          <w:szCs w:val="21"/>
          <w:u w:val="single"/>
        </w:rPr>
        <w:t>（第一包：广播电视监测监管网络租用）</w:t>
      </w:r>
    </w:p>
    <w:p>
      <w:pPr>
        <w:rPr>
          <w:rFonts w:cs="宋体" w:asciiTheme="minorEastAsia" w:hAnsiTheme="minorEastAsia" w:eastAsiaTheme="minorEastAsia"/>
          <w:sz w:val="21"/>
          <w:szCs w:val="21"/>
        </w:rPr>
      </w:pPr>
      <w:r>
        <w:rPr>
          <w:rFonts w:asciiTheme="minorEastAsia" w:hAnsiTheme="minorEastAsia" w:eastAsiaTheme="minorEastAsia"/>
          <w:sz w:val="21"/>
          <w:szCs w:val="21"/>
        </w:rPr>
        <w:t xml:space="preserve"> </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rPr>
          <w:rFonts w:asciiTheme="minorEastAsia" w:hAnsiTheme="minorEastAsia" w:eastAsiaTheme="minorEastAsia"/>
          <w:sz w:val="21"/>
          <w:szCs w:val="21"/>
        </w:rPr>
      </w:pPr>
      <w:r>
        <w:rPr>
          <w:rFonts w:asciiTheme="minorEastAsia" w:hAnsiTheme="minorEastAsia" w:eastAsiaTheme="minorEastAsia"/>
          <w:sz w:val="21"/>
          <w:szCs w:val="21"/>
        </w:rPr>
        <w:t xml:space="preserve"> </w:t>
      </w:r>
    </w:p>
    <w:p>
      <w:pPr>
        <w:rPr>
          <w:rFonts w:asciiTheme="minorEastAsia" w:hAnsiTheme="minorEastAsia" w:eastAsiaTheme="minorEastAsia"/>
          <w:sz w:val="21"/>
          <w:szCs w:val="21"/>
        </w:rPr>
      </w:pPr>
      <w:r>
        <w:rPr>
          <w:rFonts w:asciiTheme="minorEastAsia" w:hAnsiTheme="minorEastAsia" w:eastAsiaTheme="minorEastAsia"/>
          <w:sz w:val="21"/>
          <w:szCs w:val="21"/>
        </w:rPr>
        <w:t xml:space="preserve"> </w:t>
      </w:r>
    </w:p>
    <w:p>
      <w:pPr>
        <w:spacing w:line="480" w:lineRule="auto"/>
        <w:ind w:firstLine="632" w:firstLineChars="300"/>
        <w:rPr>
          <w:rFonts w:cs="Arial" w:asciiTheme="minorEastAsia" w:hAnsiTheme="minorEastAsia" w:eastAsiaTheme="minorEastAsia"/>
          <w:b/>
          <w:bCs/>
          <w:sz w:val="21"/>
          <w:szCs w:val="21"/>
        </w:rPr>
      </w:pPr>
      <w:r>
        <w:rPr>
          <w:rFonts w:hint="eastAsia" w:cs="Arial" w:asciiTheme="minorEastAsia" w:hAnsiTheme="minorEastAsia" w:eastAsiaTheme="minorEastAsia"/>
          <w:b/>
          <w:bCs/>
          <w:sz w:val="21"/>
          <w:szCs w:val="21"/>
        </w:rPr>
        <w:t>甲  方：</w:t>
      </w:r>
      <w:r>
        <w:rPr>
          <w:rFonts w:hint="eastAsia" w:cs="Arial" w:asciiTheme="minorEastAsia" w:hAnsiTheme="minorEastAsia" w:eastAsiaTheme="minorEastAsia"/>
          <w:sz w:val="21"/>
          <w:szCs w:val="21"/>
          <w:u w:val="single"/>
        </w:rPr>
        <w:t>北京市广播电视监测中心</w:t>
      </w:r>
    </w:p>
    <w:p>
      <w:pPr>
        <w:spacing w:line="480" w:lineRule="auto"/>
        <w:ind w:firstLine="632" w:firstLineChars="300"/>
        <w:rPr>
          <w:rFonts w:cs="Arial" w:asciiTheme="minorEastAsia" w:hAnsiTheme="minorEastAsia" w:eastAsiaTheme="minorEastAsia"/>
          <w:sz w:val="21"/>
          <w:szCs w:val="21"/>
          <w:u w:val="single"/>
        </w:rPr>
      </w:pPr>
      <w:r>
        <w:rPr>
          <w:rFonts w:hint="eastAsia" w:cs="Arial" w:asciiTheme="minorEastAsia" w:hAnsiTheme="minorEastAsia" w:eastAsiaTheme="minorEastAsia"/>
          <w:b/>
          <w:bCs/>
          <w:sz w:val="21"/>
          <w:szCs w:val="21"/>
        </w:rPr>
        <w:t>乙  方：</w:t>
      </w:r>
      <w:r>
        <w:rPr>
          <w:rFonts w:hint="eastAsia" w:asciiTheme="minorEastAsia" w:hAnsiTheme="minorEastAsia" w:eastAsiaTheme="minorEastAsia"/>
          <w:sz w:val="21"/>
          <w:szCs w:val="21"/>
          <w:u w:val="single"/>
        </w:rPr>
        <w:t xml:space="preserve">                        </w:t>
      </w:r>
    </w:p>
    <w:p>
      <w:pPr>
        <w:rPr>
          <w:rFonts w:cs="宋体"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rPr>
          <w:rFonts w:asciiTheme="minorEastAsia" w:hAnsiTheme="minorEastAsia" w:eastAsiaTheme="minorEastAsia"/>
          <w:sz w:val="21"/>
          <w:szCs w:val="21"/>
        </w:rPr>
      </w:pPr>
      <w:r>
        <w:rPr>
          <w:rFonts w:asciiTheme="minorEastAsia" w:hAnsiTheme="minorEastAsia" w:eastAsiaTheme="minorEastAsia"/>
          <w:sz w:val="21"/>
          <w:szCs w:val="21"/>
        </w:rPr>
        <w:t xml:space="preserve"> </w:t>
      </w:r>
    </w:p>
    <w:p>
      <w:pPr>
        <w:spacing w:line="480" w:lineRule="auto"/>
        <w:ind w:left="540" w:firstLine="211" w:firstLineChars="100"/>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签署日期：</w:t>
      </w:r>
      <w:r>
        <w:rPr>
          <w:rFonts w:hint="eastAsia" w:cs="Arial" w:asciiTheme="minorEastAsia" w:hAnsiTheme="minorEastAsia" w:eastAsiaTheme="minorEastAsia"/>
          <w:b/>
          <w:bCs/>
          <w:sz w:val="21"/>
          <w:szCs w:val="21"/>
          <w:u w:val="single"/>
        </w:rPr>
        <w:t xml:space="preserve"> 2023年    月    日 </w:t>
      </w:r>
    </w:p>
    <w:p>
      <w:pPr>
        <w:widowControl/>
        <w:spacing w:line="480" w:lineRule="auto"/>
        <w:rPr>
          <w:rFonts w:asciiTheme="minorEastAsia" w:hAnsiTheme="minorEastAsia" w:eastAsiaTheme="minorEastAsia"/>
          <w:b/>
          <w:bCs/>
          <w:sz w:val="21"/>
          <w:szCs w:val="21"/>
        </w:rPr>
        <w:sectPr>
          <w:pgSz w:w="11906" w:h="16838"/>
          <w:pgMar w:top="1440" w:right="1701" w:bottom="1440" w:left="1701" w:header="851" w:footer="992" w:gutter="0"/>
          <w:cols w:space="720" w:num="1"/>
          <w:titlePg/>
          <w:docGrid w:type="lines" w:linePitch="312" w:charSpace="0"/>
        </w:sectPr>
      </w:pPr>
    </w:p>
    <w:p>
      <w:pPr>
        <w:spacing w:line="36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一、合同书</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北京市广播电视监测中心(甲方) </w:t>
      </w:r>
      <w:r>
        <w:rPr>
          <w:rFonts w:hint="eastAsia" w:asciiTheme="minorEastAsia" w:hAnsiTheme="minorEastAsia" w:eastAsiaTheme="minorEastAsia"/>
          <w:sz w:val="21"/>
          <w:szCs w:val="21"/>
          <w:u w:val="single"/>
        </w:rPr>
        <w:t>监测调度网络和政务云租用（第一包：广播电视监测监管网络租用）</w:t>
      </w:r>
      <w:r>
        <w:rPr>
          <w:rFonts w:hint="eastAsia" w:asciiTheme="minorEastAsia" w:hAnsiTheme="minorEastAsia" w:eastAsiaTheme="minorEastAsia"/>
          <w:sz w:val="21"/>
          <w:szCs w:val="21"/>
        </w:rPr>
        <w:t>(项目名称)政府采购项目中所需</w:t>
      </w:r>
      <w:r>
        <w:rPr>
          <w:rFonts w:hint="eastAsia" w:asciiTheme="minorEastAsia" w:hAnsiTheme="minorEastAsia" w:eastAsiaTheme="minorEastAsia"/>
          <w:sz w:val="21"/>
          <w:szCs w:val="21"/>
          <w:u w:val="single"/>
        </w:rPr>
        <w:t>广播电视监测监管网络租用</w:t>
      </w:r>
      <w:r>
        <w:rPr>
          <w:rFonts w:hint="eastAsia" w:asciiTheme="minorEastAsia" w:hAnsiTheme="minorEastAsia" w:eastAsiaTheme="minorEastAsia"/>
          <w:sz w:val="21"/>
          <w:szCs w:val="21"/>
        </w:rPr>
        <w:t>(服务名称)经</w:t>
      </w:r>
      <w:r>
        <w:rPr>
          <w:rFonts w:hint="eastAsia" w:asciiTheme="minorEastAsia" w:hAnsiTheme="minorEastAsia" w:eastAsiaTheme="minorEastAsia"/>
          <w:sz w:val="21"/>
          <w:szCs w:val="21"/>
          <w:u w:val="single"/>
        </w:rPr>
        <w:t>北京市政府采购中心</w:t>
      </w:r>
      <w:r>
        <w:rPr>
          <w:rFonts w:hint="eastAsia" w:asciiTheme="minorEastAsia" w:hAnsiTheme="minorEastAsia" w:eastAsiaTheme="minorEastAsia"/>
          <w:sz w:val="21"/>
          <w:szCs w:val="21"/>
        </w:rPr>
        <w:t>(招标采购单位)以</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号招标文件在国内</w:t>
      </w:r>
      <w:r>
        <w:rPr>
          <w:rFonts w:hint="eastAsia" w:asciiTheme="minorEastAsia" w:hAnsiTheme="minorEastAsia" w:eastAsiaTheme="minorEastAsia"/>
          <w:sz w:val="21"/>
          <w:szCs w:val="21"/>
          <w:u w:val="single"/>
        </w:rPr>
        <w:t>公开招标</w:t>
      </w:r>
      <w:r>
        <w:rPr>
          <w:rFonts w:hint="eastAsia" w:asciiTheme="minorEastAsia" w:hAnsiTheme="minorEastAsia" w:eastAsiaTheme="minorEastAsia"/>
          <w:sz w:val="21"/>
          <w:szCs w:val="21"/>
        </w:rPr>
        <w:t>。经评标委员会评定，</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(乙方)为中标人。甲、乙双方同意按照下面的条款和条件，签署本合同。</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1.合同文件组成</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下列文件均为本合同不可分割的组成部分，认为是一个整体，彼此相互解释、相互补充,具有同等法律效力：</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1.1本合同书</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1.2中标通知书</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1.3投标文件(含澄清文件)</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1.4招标文件(含招标文件补充通知)</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上述文件互为补充和解释，如有不清或相互矛盾之处，以所列顺序在前的为准，但甲、乙双方有特别约定的除外。</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2.合同总价</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本合同总价为</w:t>
      </w:r>
      <w:r>
        <w:rPr>
          <w:rFonts w:hint="eastAsia" w:asciiTheme="minorEastAsia" w:hAnsiTheme="minorEastAsia" w:eastAsiaTheme="minorEastAsia"/>
          <w:sz w:val="21"/>
          <w:szCs w:val="21"/>
          <w:u w:val="single"/>
        </w:rPr>
        <w:t>¥          元</w:t>
      </w:r>
      <w:r>
        <w:rPr>
          <w:rFonts w:hint="eastAsia" w:asciiTheme="minorEastAsia" w:hAnsiTheme="minorEastAsia" w:eastAsiaTheme="minorEastAsia"/>
          <w:sz w:val="21"/>
          <w:szCs w:val="21"/>
        </w:rPr>
        <w:t>,大写</w:t>
      </w:r>
      <w:r>
        <w:rPr>
          <w:rFonts w:hint="eastAsia" w:asciiTheme="minorEastAsia" w:hAnsiTheme="minorEastAsia" w:eastAsiaTheme="minorEastAsia"/>
          <w:sz w:val="21"/>
          <w:szCs w:val="21"/>
          <w:u w:val="single"/>
        </w:rPr>
        <w:t xml:space="preserve">人民币：           </w:t>
      </w:r>
      <w:r>
        <w:rPr>
          <w:rFonts w:hint="eastAsia" w:asciiTheme="minorEastAsia" w:hAnsiTheme="minorEastAsia" w:eastAsiaTheme="minorEastAsia"/>
          <w:sz w:val="21"/>
          <w:szCs w:val="21"/>
        </w:rPr>
        <w:t>。</w:t>
      </w:r>
    </w:p>
    <w:p>
      <w:pPr>
        <w:spacing w:line="360" w:lineRule="auto"/>
        <w:ind w:left="3248" w:leftChars="216" w:hanging="2730" w:hangingChars="130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分项价格一览表                </w:t>
      </w:r>
      <w:r>
        <w:rPr>
          <w:rFonts w:hint="eastAsia" w:cs="Arial" w:asciiTheme="minorEastAsia" w:hAnsiTheme="minorEastAsia" w:eastAsiaTheme="minorEastAsia"/>
          <w:sz w:val="21"/>
          <w:szCs w:val="21"/>
        </w:rPr>
        <w:t>单位：人民币 元</w:t>
      </w:r>
    </w:p>
    <w:tbl>
      <w:tblPr>
        <w:tblStyle w:val="18"/>
        <w:tblW w:w="9106" w:type="dxa"/>
        <w:jc w:val="center"/>
        <w:tblLayout w:type="fixed"/>
        <w:tblCellMar>
          <w:top w:w="0" w:type="dxa"/>
          <w:left w:w="108" w:type="dxa"/>
          <w:bottom w:w="0" w:type="dxa"/>
          <w:right w:w="108" w:type="dxa"/>
        </w:tblCellMar>
      </w:tblPr>
      <w:tblGrid>
        <w:gridCol w:w="916"/>
        <w:gridCol w:w="3796"/>
        <w:gridCol w:w="992"/>
        <w:gridCol w:w="992"/>
        <w:gridCol w:w="1134"/>
        <w:gridCol w:w="1276"/>
      </w:tblGrid>
      <w:tr>
        <w:tblPrEx>
          <w:tblCellMar>
            <w:top w:w="0" w:type="dxa"/>
            <w:left w:w="108" w:type="dxa"/>
            <w:bottom w:w="0" w:type="dxa"/>
            <w:right w:w="108" w:type="dxa"/>
          </w:tblCellMar>
        </w:tblPrEx>
        <w:trPr>
          <w:trHeight w:val="945"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379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名目</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带宽（M）</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数量（条）</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单价</w:t>
            </w:r>
          </w:p>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（条/年）</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分项报价（元）</w:t>
            </w:r>
          </w:p>
        </w:tc>
      </w:tr>
      <w:tr>
        <w:tblPrEx>
          <w:tblCellMar>
            <w:top w:w="0" w:type="dxa"/>
            <w:left w:w="108" w:type="dxa"/>
            <w:bottom w:w="0" w:type="dxa"/>
            <w:right w:w="108" w:type="dxa"/>
          </w:tblCellMar>
        </w:tblPrEx>
        <w:trPr>
          <w:trHeight w:val="529" w:hRule="atLeast"/>
          <w:jc w:val="center"/>
        </w:trPr>
        <w:tc>
          <w:tcPr>
            <w:tcW w:w="91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sz w:val="21"/>
                <w:szCs w:val="21"/>
              </w:rPr>
            </w:pPr>
          </w:p>
        </w:tc>
        <w:tc>
          <w:tcPr>
            <w:tcW w:w="3796"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sz w:val="21"/>
                <w:szCs w:val="21"/>
              </w:rPr>
            </w:pPr>
          </w:p>
        </w:tc>
        <w:tc>
          <w:tcPr>
            <w:tcW w:w="992"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276"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529" w:hRule="atLeast"/>
          <w:jc w:val="center"/>
        </w:trPr>
        <w:tc>
          <w:tcPr>
            <w:tcW w:w="91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sz w:val="21"/>
                <w:szCs w:val="21"/>
              </w:rPr>
            </w:pPr>
          </w:p>
        </w:tc>
        <w:tc>
          <w:tcPr>
            <w:tcW w:w="3796"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sz w:val="21"/>
                <w:szCs w:val="21"/>
              </w:rPr>
            </w:pPr>
          </w:p>
        </w:tc>
        <w:tc>
          <w:tcPr>
            <w:tcW w:w="992"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276"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529" w:hRule="atLeast"/>
          <w:jc w:val="center"/>
        </w:trPr>
        <w:tc>
          <w:tcPr>
            <w:tcW w:w="91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sz w:val="21"/>
                <w:szCs w:val="21"/>
              </w:rPr>
            </w:pPr>
          </w:p>
        </w:tc>
        <w:tc>
          <w:tcPr>
            <w:tcW w:w="3796"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sz w:val="21"/>
                <w:szCs w:val="21"/>
              </w:rPr>
            </w:pPr>
          </w:p>
        </w:tc>
        <w:tc>
          <w:tcPr>
            <w:tcW w:w="992"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276"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529" w:hRule="atLeast"/>
          <w:jc w:val="center"/>
        </w:trPr>
        <w:tc>
          <w:tcPr>
            <w:tcW w:w="91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sz w:val="21"/>
                <w:szCs w:val="21"/>
              </w:rPr>
            </w:pPr>
          </w:p>
        </w:tc>
        <w:tc>
          <w:tcPr>
            <w:tcW w:w="3796"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sz w:val="21"/>
                <w:szCs w:val="21"/>
              </w:rPr>
            </w:pPr>
          </w:p>
        </w:tc>
        <w:tc>
          <w:tcPr>
            <w:tcW w:w="992"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276"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529" w:hRule="atLeast"/>
          <w:jc w:val="center"/>
        </w:trPr>
        <w:tc>
          <w:tcPr>
            <w:tcW w:w="91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sz w:val="21"/>
                <w:szCs w:val="21"/>
              </w:rPr>
            </w:pPr>
          </w:p>
        </w:tc>
        <w:tc>
          <w:tcPr>
            <w:tcW w:w="3796"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sz w:val="21"/>
                <w:szCs w:val="21"/>
              </w:rPr>
            </w:pPr>
          </w:p>
        </w:tc>
        <w:tc>
          <w:tcPr>
            <w:tcW w:w="992"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276"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529" w:hRule="atLeast"/>
          <w:jc w:val="center"/>
        </w:trPr>
        <w:tc>
          <w:tcPr>
            <w:tcW w:w="91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sz w:val="21"/>
                <w:szCs w:val="21"/>
              </w:rPr>
            </w:pPr>
          </w:p>
        </w:tc>
        <w:tc>
          <w:tcPr>
            <w:tcW w:w="3796"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sz w:val="21"/>
                <w:szCs w:val="21"/>
              </w:rPr>
            </w:pPr>
          </w:p>
        </w:tc>
        <w:tc>
          <w:tcPr>
            <w:tcW w:w="992"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276"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529" w:hRule="atLeast"/>
          <w:jc w:val="center"/>
        </w:trPr>
        <w:tc>
          <w:tcPr>
            <w:tcW w:w="91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sz w:val="21"/>
                <w:szCs w:val="21"/>
              </w:rPr>
            </w:pPr>
          </w:p>
        </w:tc>
        <w:tc>
          <w:tcPr>
            <w:tcW w:w="3796"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sz w:val="21"/>
                <w:szCs w:val="21"/>
              </w:rPr>
            </w:pPr>
          </w:p>
        </w:tc>
        <w:tc>
          <w:tcPr>
            <w:tcW w:w="992"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276"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529" w:hRule="atLeast"/>
          <w:jc w:val="center"/>
        </w:trPr>
        <w:tc>
          <w:tcPr>
            <w:tcW w:w="91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合计</w:t>
            </w:r>
          </w:p>
        </w:tc>
        <w:tc>
          <w:tcPr>
            <w:tcW w:w="3796"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sz w:val="21"/>
                <w:szCs w:val="21"/>
              </w:rPr>
            </w:pPr>
          </w:p>
        </w:tc>
        <w:tc>
          <w:tcPr>
            <w:tcW w:w="992"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c>
          <w:tcPr>
            <w:tcW w:w="1276" w:type="dxa"/>
            <w:tcBorders>
              <w:top w:val="nil"/>
              <w:left w:val="nil"/>
              <w:bottom w:val="single" w:color="auto" w:sz="4" w:space="0"/>
              <w:right w:val="single" w:color="auto" w:sz="4" w:space="0"/>
            </w:tcBorders>
            <w:vAlign w:val="center"/>
          </w:tcPr>
          <w:p>
            <w:pPr>
              <w:widowControl/>
              <w:spacing w:line="400" w:lineRule="exact"/>
              <w:ind w:left="-1" w:leftChars="-3" w:hanging="6" w:hangingChars="3"/>
              <w:jc w:val="center"/>
              <w:rPr>
                <w:rFonts w:asciiTheme="minorEastAsia" w:hAnsiTheme="minorEastAsia" w:eastAsiaTheme="minorEastAsia"/>
                <w:sz w:val="21"/>
                <w:szCs w:val="21"/>
              </w:rPr>
            </w:pPr>
          </w:p>
        </w:tc>
      </w:tr>
    </w:tbl>
    <w:p>
      <w:pPr>
        <w:spacing w:line="360" w:lineRule="auto"/>
        <w:ind w:firstLine="422" w:firstLineChars="200"/>
        <w:rPr>
          <w:rFonts w:cs="宋体" w:asciiTheme="minorEastAsia" w:hAnsiTheme="minorEastAsia" w:eastAsiaTheme="minorEastAsia"/>
          <w:b/>
          <w:bCs/>
          <w:kern w:val="2"/>
          <w:sz w:val="21"/>
          <w:szCs w:val="21"/>
        </w:rPr>
      </w:pPr>
      <w:r>
        <w:rPr>
          <w:rFonts w:hint="eastAsia" w:asciiTheme="minorEastAsia" w:hAnsiTheme="minorEastAsia" w:eastAsiaTheme="minorEastAsia"/>
          <w:b/>
          <w:bCs/>
          <w:sz w:val="21"/>
          <w:szCs w:val="21"/>
        </w:rPr>
        <w:t>3. 服务内容</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见“四、招标要求（二）租赁内容”。</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4.服务范围</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见“四、招标要求（三）服务要求”。 </w:t>
      </w:r>
    </w:p>
    <w:p>
      <w:pPr>
        <w:spacing w:line="360" w:lineRule="auto"/>
        <w:ind w:firstLine="422" w:firstLineChars="200"/>
        <w:rPr>
          <w:rFonts w:asciiTheme="minorEastAsia" w:hAnsiTheme="minorEastAsia" w:eastAsiaTheme="minorEastAsia"/>
          <w:sz w:val="21"/>
          <w:szCs w:val="21"/>
        </w:rPr>
      </w:pPr>
      <w:r>
        <w:rPr>
          <w:rFonts w:hint="eastAsia" w:asciiTheme="minorEastAsia" w:hAnsiTheme="minorEastAsia" w:eastAsiaTheme="minorEastAsia"/>
          <w:b/>
          <w:bCs/>
          <w:sz w:val="21"/>
          <w:szCs w:val="21"/>
        </w:rPr>
        <w:t>5.服务期限</w:t>
      </w:r>
    </w:p>
    <w:p>
      <w:pPr>
        <w:spacing w:line="360" w:lineRule="auto"/>
        <w:ind w:firstLine="465"/>
        <w:rPr>
          <w:rFonts w:asciiTheme="minorEastAsia" w:hAnsiTheme="minorEastAsia" w:eastAsiaTheme="minorEastAsia"/>
          <w:sz w:val="21"/>
          <w:szCs w:val="21"/>
        </w:rPr>
      </w:pPr>
      <w:r>
        <w:rPr>
          <w:rFonts w:hint="eastAsia" w:asciiTheme="minorEastAsia" w:hAnsiTheme="minorEastAsia" w:eastAsiaTheme="minorEastAsia"/>
          <w:sz w:val="21"/>
          <w:szCs w:val="21"/>
        </w:rPr>
        <w:t>服务期限：一年（2023年7月1日至2024年6月30日）。</w:t>
      </w:r>
    </w:p>
    <w:p>
      <w:pPr>
        <w:spacing w:line="360" w:lineRule="auto"/>
        <w:ind w:firstLine="480"/>
        <w:rPr>
          <w:rFonts w:asciiTheme="minorEastAsia" w:hAnsiTheme="minorEastAsia" w:eastAsiaTheme="minorEastAsia"/>
          <w:b/>
          <w:bCs/>
          <w:kern w:val="2"/>
          <w:sz w:val="21"/>
          <w:szCs w:val="21"/>
        </w:rPr>
      </w:pPr>
      <w:r>
        <w:rPr>
          <w:rFonts w:hint="eastAsia" w:asciiTheme="minorEastAsia" w:hAnsiTheme="minorEastAsia" w:eastAsiaTheme="minorEastAsia"/>
          <w:b/>
          <w:bCs/>
          <w:sz w:val="21"/>
          <w:szCs w:val="21"/>
        </w:rPr>
        <w:t>6.付款方式</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6.1合同签订生效后5个工作日内，乙方向甲方支付合同总价的10%作为合同履约保证金，即人民币     万元，甲方收到乙方的履约保证金后10个工作日内，向乙方支付80%合同款，即人民币     万元；乙方按照合同规定履行服务满2个月后，甲方向乙方支付20%合同尾款，即人民币      万元；合同期满后，若乙方完全履行了合同所规定的条款，经甲方验收合格后且无任何争议或遗留问题，在10个工作日内，甲方向乙方无息退还合同履约保证金，即人民币     万元。</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6.2 乙方户名、开户银行名称和帐号为：</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户  名:   </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开户行:  </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帐  号:   </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6.3 甲方向乙方支付服务费的同时，乙方应向甲方出具同等金额的商业服务发票。</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甲方开票信息为：</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户  名：北京市广播电视监测中心</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税  号：1211000079755080XU</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7.商业秘密</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7.1任何一方对于因签署或履行本合同而了解或接触到的对方的商业秘密及其他机密资料和信息（以下简称“保密信息”）均应保守秘密；非经对方书面同意，任何一方不得向第三方泄露、给予或转让该等保密信息；</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7.2除本合同规定之工作所需外，未经对方事先同意，不得擅自使用、复制对方的商标、标志、商业信息、技术及其他资料。</w:t>
      </w:r>
    </w:p>
    <w:p>
      <w:pPr>
        <w:spacing w:line="360" w:lineRule="auto"/>
        <w:ind w:firstLine="422" w:firstLineChars="20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8.权利义务条款</w:t>
      </w:r>
    </w:p>
    <w:p>
      <w:pPr>
        <w:spacing w:line="360" w:lineRule="auto"/>
        <w:ind w:firstLine="422" w:firstLineChars="20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甲方权利义务</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8.1接受乙方提交的符合本合同约定条件的工作成果或者相关文件；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8.2甲方有权向乙方提出明确的工作要求、工作目标和需求等，并审定乙方提交的委托项目工作方案和配套工作计划；</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8.3甲方有权对项目承办的筹备过程和实施过程进行监督和指导，检查监督乙方完成委托项目工作的进度，对于乙方不履行合同、不适当履行合同等行为，甲方有权要求乙方立即更正，并采取其他补救措施；</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8.4组织专家或者通过评估，对乙方提交的委托项目工作成果的质量进行评审或验收；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8.5为保证乙方工作顺利进行，甲方须及时向乙方提供完成委托事项所必须的技术资料和工作条件。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8.6负责按照合同约定收集、整理与委托事项有关的项目背景资料及相关技术资料和数据并提供给乙方；</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8.7负责委托项目所涉及的、与甲方有关的外部联系和协调工作。</w:t>
      </w:r>
    </w:p>
    <w:p>
      <w:pPr>
        <w:spacing w:line="360" w:lineRule="auto"/>
        <w:ind w:firstLine="422" w:firstLineChars="20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乙方权利义务</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8.8有权接受甲方按照合同约定支付的委托报酬；</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8.9乙方发现甲方提供的技术资料、数据有明显错误和缺陷的，有权于收到上述资料后3日内书面通知甲方进行补充、修改。如逾期未提出异议的，则视为甲方提交的资料、数据符合合同约定的条件；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8.10乙方在其经营许可的范围内，依本合同的约定向甲方提供专业的服务，并在规定的委托项目工作时间期限内完成委托项目的工作；</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8.11乙方应当遵守国家法律、法规和行业行为准则为甲方完成委托项目的工作；乙方提交的工作成果必须达到合同约定的要求，并对其完成的委托项目工作成果全面负责；</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8.12乙方应当认真按照合同要求完成委托项目工作，随时接受甲方的检查监督，并为检查监督提供便利条件；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8.13甲方对乙方提交的委托项目工作成果提出质疑或者要求乙方答复时，乙方须在收到甲方的质疑后2个工作日内给予书面解释或者答复；</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8.14除双方另有约定外，为本项目进行调查研究、分析论证、试验测定以及到外地进行调研、收集资料所发生的费用，由乙方自行承担；乙方自行负担因履行本合同产生的各项税负；</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8.15乙方在履行合同期间使用的由甲方提供或者支付费用的设备设施，属于甲方的财产，乙方在完成委托项目并向甲方提交工作成果时，应当将设备设施归还给甲方。</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8.16未经甲方书面同意，乙方不得将承办项目全部或者部分承办任务转委托其他第三方机构或组织承担。</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9.违约责任</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9.1甲、乙双方应正当行使权利，履行义务，保证本合同的顺利履行；</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9.2乙方没有充分、及时履行义务的，应当承担违约责任；给甲方造成损失的，应赔偿甲方由此所遭受的直接和间接经济损失。</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9.3 由于乙方的过错造成其提供的服务不能满足合同中规定的要求，则甲方应以书面形式通知乙方予以改进。乙方自接到书面通知之日起15 日予以改进或向甲方提出书面异议。否则，甲方有权要求乙方支付违约金，违约金的金额为不满足合同要求部分的服务费总额的10%，并赔偿由此给甲方带来的相关损失。由于乙方的过错造成其不能按时完成服务的，每逾期1个工作日，乙方向甲方支付违约金，违约金的金额为服务费总额的1% 。上述两项违约金的金额可以叠加。如违约金总额超过服务费总额的30%，甲方有权解除合同，乙方应向甲方返还已支付合同费用,违约金不足以弥补甲方损失的，乙方赔偿由此给甲方带来的所有损失。</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9.4 因乙方原因致使甲方遭受第三方追诉的，乙方应赔偿由此给甲方造成的损失。</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10.免责规定</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10.1若双方因地震、火灾、水灾等自然灾害，战争等不可抗力原因或国家政策调整致使本合同无法履行的，双方应协商解决，互不承担责任；</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10.2若免责条件结束后，本合同内容仍能继续履行，本合同继续有效。</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11.乙方的保证</w:t>
      </w:r>
    </w:p>
    <w:p>
      <w:pPr>
        <w:spacing w:line="360" w:lineRule="auto"/>
        <w:ind w:firstLine="480"/>
        <w:outlineLvl w:val="0"/>
        <w:rPr>
          <w:rFonts w:asciiTheme="minorEastAsia" w:hAnsiTheme="minorEastAsia" w:eastAsiaTheme="minorEastAsia"/>
          <w:sz w:val="21"/>
          <w:szCs w:val="21"/>
        </w:rPr>
      </w:pPr>
      <w:r>
        <w:rPr>
          <w:rFonts w:hint="eastAsia" w:asciiTheme="minorEastAsia" w:hAnsiTheme="minorEastAsia" w:eastAsiaTheme="minorEastAsia"/>
          <w:sz w:val="21"/>
          <w:szCs w:val="21"/>
        </w:rPr>
        <w:t>乙方保证在履行本合同过程中提供的服务不侵犯任何第三方的合法权益或引起任何第三方的指控或行政机关的处罚，因乙方过错导致任何第三方向甲方主张侵权或赔偿或行政处罚，因此而发生的一切费用、赔偿金及罚金由乙方承担。同时乙方需提供全力支持，防止因上述侵权或可能的侵权给甲方造成的损失，包括但不限于提供甲方继续使用本合同项下的服务而需取得的第三方授权、修改本合同项下服务使其至少在功能上可以替代原服务、提供功能上相等的使甲方可以达到本合同目的的其他服务，并由乙方承担因此而产生的所有的费用。</w:t>
      </w:r>
    </w:p>
    <w:p>
      <w:pPr>
        <w:spacing w:line="360" w:lineRule="auto"/>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乙方在提供服务过程中，应严格遵守甲方的规章制度。乙方员工在实施过程中由于自身原因发生安全事故，造成甲方、第三方、乙方人员自身的财产、人身损害等，由乙方负责解决并承担相关责任。</w:t>
      </w:r>
    </w:p>
    <w:p>
      <w:pPr>
        <w:spacing w:line="360" w:lineRule="auto"/>
        <w:outlineLvl w:val="0"/>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12.培训</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合同期间，乙方应根据甲方工作需要，免费为甲方提供与合同相关的业务培训。</w:t>
      </w:r>
    </w:p>
    <w:p>
      <w:pPr>
        <w:spacing w:line="360" w:lineRule="auto"/>
        <w:ind w:firstLine="422" w:firstLineChars="200"/>
        <w:outlineLvl w:val="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13. 验收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13.1 验收时间：合同期满后，在10个工作日内。 </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13.2 验收标准及方式：乙方完全履行了合同所规定的条款，且无任何争议或遗留问题，按照甲方的项目验收要求进行验收，验收相关费用由乙方承担。</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14.合同执行</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14.1本合同执行过程中，甲、乙双方如需要修改、增删本合同条款内容，应在双方都认可的情况下加入本合同附件。附件具有同等法律效力；</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14.2本合同其效力、解释、履行和争议的解决，适用于中华人民共和国法律，属中华人民共和国法律管辖；</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14.3双方合同执行中如有争议，应友好协商解决，协商不成任何一方均有权将争议提交至北京仲裁委员会，按照申请仲裁时该会有效的仲裁规则进行仲裁。仲裁裁决为终局的，对双方均有约束力。</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15. 廉政承诺</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15.1合同双方承诺共同加强廉洁自律、反对商业贿赂。</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15.2甲方及其工作人员不得收受可能影响正常执行公务的礼品、礼金、消费卡和有价证券、股权、其他金融产品等财物；不得在乙方报销应由本单位或个人支付的费用；不得以参与项目实施为名，接受乙方从该项目中支取的劳务报酬；不得参加乙方安排的可能影响公正执行公务的宴请或者旅游、健身、娱乐等活动。</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15.3乙方不得向甲方及其工作人员馈赠可能影响公正执行公务的礼品、礼金、消费卡和有价证券、股权、其他金融产品等财物；不得为其报销应由甲方单位或个人支付的费用；不得向甲方工作人员支付劳务报酬；不得安排甲方工作人员参加可能影响公正执行公务的宴请或者旅游、健身、娱乐等活动。</w:t>
      </w:r>
    </w:p>
    <w:p>
      <w:pPr>
        <w:spacing w:line="360" w:lineRule="auto"/>
        <w:ind w:firstLine="495"/>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16.合同生效和其它</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16.1本合同经双方法定代表人或授权代表人签字、盖章之日起生效；</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16.2本合同一式捌份。甲方执肆份，乙方及招标代理公司各执贰份，具有同等法律效力。</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甲 方：</w:t>
      </w:r>
      <w:r>
        <w:rPr>
          <w:rFonts w:hint="eastAsia" w:asciiTheme="minorEastAsia" w:hAnsiTheme="minorEastAsia" w:eastAsiaTheme="minorEastAsia"/>
          <w:sz w:val="21"/>
          <w:szCs w:val="21"/>
          <w:u w:val="single"/>
        </w:rPr>
        <w:t>北京市广播电视监测中心</w:t>
      </w:r>
      <w:r>
        <w:rPr>
          <w:rFonts w:hint="eastAsia" w:cs="Arial" w:asciiTheme="minorEastAsia" w:hAnsiTheme="minorEastAsia" w:eastAsiaTheme="minorEastAsia"/>
          <w:sz w:val="21"/>
          <w:szCs w:val="21"/>
          <w:u w:val="single"/>
        </w:rPr>
        <w:t xml:space="preserve"> </w:t>
      </w:r>
      <w:r>
        <w:rPr>
          <w:rFonts w:hint="eastAsia" w:cs="Arial" w:asciiTheme="minorEastAsia" w:hAnsiTheme="minorEastAsia" w:eastAsiaTheme="minorEastAsia"/>
          <w:sz w:val="21"/>
          <w:szCs w:val="21"/>
        </w:rPr>
        <w:t xml:space="preserve">       乙 方：</w:t>
      </w:r>
      <w:r>
        <w:rPr>
          <w:rFonts w:hint="eastAsia"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名称：(印章)</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名称： (印章)</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授权代表(签字)：</w:t>
      </w:r>
      <w:r>
        <w:rPr>
          <w:rFonts w:hint="eastAsia" w:cs="Arial" w:asciiTheme="minorEastAsia" w:hAnsiTheme="minorEastAsia" w:eastAsiaTheme="minorEastAsia"/>
          <w:sz w:val="21"/>
          <w:szCs w:val="21"/>
          <w:u w:val="single"/>
        </w:rPr>
        <w:t xml:space="preserve">            </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授权代表(签字)：</w:t>
      </w:r>
      <w:r>
        <w:rPr>
          <w:rFonts w:hint="eastAsia" w:cs="Arial" w:asciiTheme="minorEastAsia" w:hAnsiTheme="minorEastAsia" w:eastAsiaTheme="minorEastAsia"/>
          <w:sz w:val="21"/>
          <w:szCs w:val="21"/>
          <w:u w:val="single"/>
        </w:rPr>
        <w:tab/>
      </w:r>
      <w:r>
        <w:rPr>
          <w:rFonts w:hint="eastAsia" w:cs="Arial"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地  址：</w:t>
      </w:r>
      <w:r>
        <w:rPr>
          <w:rFonts w:hint="eastAsia" w:cs="Arial" w:asciiTheme="minorEastAsia" w:hAnsiTheme="minorEastAsia" w:eastAsiaTheme="minorEastAsia"/>
          <w:sz w:val="21"/>
          <w:szCs w:val="21"/>
          <w:u w:val="single"/>
        </w:rPr>
        <w:tab/>
      </w:r>
      <w:r>
        <w:rPr>
          <w:rFonts w:hint="eastAsia" w:cs="Arial" w:asciiTheme="minorEastAsia" w:hAnsiTheme="minorEastAsia" w:eastAsiaTheme="minorEastAsia"/>
          <w:sz w:val="21"/>
          <w:szCs w:val="21"/>
          <w:u w:val="single"/>
        </w:rPr>
        <w:t xml:space="preserve">北京市朝阳区       </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地  址：</w:t>
      </w:r>
      <w:r>
        <w:rPr>
          <w:rFonts w:hint="eastAsia" w:cs="Arial"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建国门外大街14号  </w:t>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邮政编码：</w:t>
      </w:r>
      <w:r>
        <w:rPr>
          <w:rFonts w:hint="eastAsia" w:cs="Arial" w:asciiTheme="minorEastAsia" w:hAnsiTheme="minorEastAsia" w:eastAsiaTheme="minorEastAsia"/>
          <w:sz w:val="21"/>
          <w:szCs w:val="21"/>
          <w:u w:val="single"/>
        </w:rPr>
        <w:t xml:space="preserve">100022   </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邮政编码：</w:t>
      </w:r>
      <w:r>
        <w:rPr>
          <w:rFonts w:hint="eastAsia" w:cs="Arial"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电  话：</w:t>
      </w:r>
      <w:r>
        <w:rPr>
          <w:rFonts w:hint="eastAsia" w:cs="Arial" w:asciiTheme="minorEastAsia" w:hAnsiTheme="minorEastAsia" w:eastAsiaTheme="minorEastAsia"/>
          <w:sz w:val="21"/>
          <w:szCs w:val="21"/>
          <w:u w:val="single"/>
        </w:rPr>
        <w:t xml:space="preserve">65155241 </w:t>
      </w:r>
      <w:r>
        <w:rPr>
          <w:rFonts w:hint="eastAsia" w:cs="Arial" w:asciiTheme="minorEastAsia" w:hAnsiTheme="minorEastAsia" w:eastAsiaTheme="minorEastAsia"/>
          <w:sz w:val="21"/>
          <w:szCs w:val="21"/>
        </w:rPr>
        <w:t xml:space="preserve">                  电  话：</w:t>
      </w:r>
      <w:r>
        <w:rPr>
          <w:rFonts w:hint="eastAsia" w:cs="Arial"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联 系 人：</w:t>
      </w:r>
      <w:r>
        <w:rPr>
          <w:rFonts w:hint="eastAsia" w:cs="Arial" w:asciiTheme="minorEastAsia" w:hAnsiTheme="minorEastAsia" w:eastAsiaTheme="minorEastAsia"/>
          <w:sz w:val="21"/>
          <w:szCs w:val="21"/>
          <w:u w:val="single"/>
        </w:rPr>
        <w:t xml:space="preserve">殷悦     </w:t>
      </w:r>
      <w:r>
        <w:rPr>
          <w:rFonts w:hint="eastAsia" w:cs="Arial" w:asciiTheme="minorEastAsia" w:hAnsiTheme="minorEastAsia" w:eastAsiaTheme="minorEastAsia"/>
          <w:sz w:val="21"/>
          <w:szCs w:val="21"/>
        </w:rPr>
        <w:t xml:space="preserve">                   联 系 人：</w:t>
      </w:r>
      <w:r>
        <w:rPr>
          <w:rFonts w:hint="eastAsia" w:cs="Arial"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开户银行：</w:t>
      </w:r>
      <w:r>
        <w:rPr>
          <w:rFonts w:hint="eastAsia" w:cs="Arial" w:asciiTheme="minorEastAsia" w:hAnsiTheme="minorEastAsia" w:eastAsiaTheme="minorEastAsia"/>
          <w:sz w:val="21"/>
          <w:szCs w:val="21"/>
          <w:u w:val="single"/>
        </w:rPr>
        <w:t>工行北京电信大楼支行</w:t>
      </w:r>
      <w:r>
        <w:rPr>
          <w:rFonts w:hint="eastAsia" w:cs="Arial" w:asciiTheme="minorEastAsia" w:hAnsiTheme="minorEastAsia" w:eastAsiaTheme="minorEastAsia"/>
          <w:sz w:val="21"/>
          <w:szCs w:val="21"/>
          <w:u w:val="single"/>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开户银行：</w:t>
      </w:r>
      <w:r>
        <w:rPr>
          <w:rFonts w:hint="eastAsia" w:asciiTheme="minorEastAsia" w:hAnsiTheme="minorEastAsia" w:eastAsiaTheme="minorEastAsia"/>
          <w:sz w:val="21"/>
          <w:szCs w:val="21"/>
          <w:u w:val="single"/>
        </w:rPr>
        <w:t xml:space="preserve">                </w:t>
      </w:r>
    </w:p>
    <w:p>
      <w:pPr>
        <w:spacing w:before="120" w:line="360" w:lineRule="auto"/>
        <w:rPr>
          <w:rFonts w:cs="宋体" w:asciiTheme="minorEastAsia" w:hAnsiTheme="minorEastAsia" w:eastAsiaTheme="minorEastAsia"/>
          <w:sz w:val="21"/>
          <w:szCs w:val="21"/>
        </w:rPr>
      </w:pPr>
      <w:r>
        <w:rPr>
          <w:rFonts w:hint="eastAsia" w:cs="Arial" w:asciiTheme="minorEastAsia" w:hAnsiTheme="minorEastAsia" w:eastAsiaTheme="minorEastAsia"/>
          <w:sz w:val="21"/>
          <w:szCs w:val="21"/>
        </w:rPr>
        <w:t>账  号：</w:t>
      </w:r>
      <w:r>
        <w:rPr>
          <w:rFonts w:hint="eastAsia" w:asciiTheme="minorEastAsia" w:hAnsiTheme="minorEastAsia" w:eastAsiaTheme="minorEastAsia"/>
          <w:sz w:val="21"/>
          <w:szCs w:val="21"/>
          <w:u w:val="single"/>
        </w:rPr>
        <w:t>0200235229200035568</w:t>
      </w:r>
      <w:r>
        <w:rPr>
          <w:rFonts w:hint="eastAsia" w:asciiTheme="minorEastAsia" w:hAnsiTheme="minorEastAsia" w:eastAsiaTheme="minorEastAsia"/>
          <w:sz w:val="21"/>
          <w:szCs w:val="21"/>
          <w:u w:val="single"/>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账  号：</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br w:type="page"/>
      </w:r>
    </w:p>
    <w:p>
      <w:pPr>
        <w:spacing w:line="302" w:lineRule="auto"/>
        <w:jc w:val="center"/>
        <w:rPr>
          <w:rFonts w:ascii="宋体" w:hAnsi="宋体"/>
          <w:b/>
          <w:sz w:val="21"/>
          <w:szCs w:val="21"/>
        </w:rPr>
      </w:pPr>
      <w:r>
        <w:rPr>
          <w:rFonts w:hint="eastAsia" w:ascii="宋体" w:hAnsi="宋体"/>
          <w:sz w:val="32"/>
          <w:szCs w:val="32"/>
        </w:rPr>
        <w:t>监测调度网络和政务云租用</w:t>
      </w:r>
    </w:p>
    <w:p>
      <w:pPr>
        <w:spacing w:line="302" w:lineRule="auto"/>
        <w:jc w:val="center"/>
        <w:rPr>
          <w:rFonts w:ascii="宋体" w:hAnsi="宋体"/>
          <w:sz w:val="21"/>
          <w:szCs w:val="21"/>
        </w:rPr>
      </w:pPr>
      <w:r>
        <w:rPr>
          <w:rFonts w:hint="eastAsia" w:ascii="宋体" w:hAnsi="宋体"/>
          <w:b/>
          <w:sz w:val="21"/>
          <w:szCs w:val="21"/>
        </w:rPr>
        <w:t>第二包  政务云租用</w:t>
      </w:r>
    </w:p>
    <w:p>
      <w:pPr>
        <w:pStyle w:val="3"/>
        <w:numPr>
          <w:ilvl w:val="0"/>
          <w:numId w:val="0"/>
        </w:numPr>
        <w:snapToGrid w:val="0"/>
        <w:spacing w:line="304" w:lineRule="auto"/>
        <w:ind w:right="525"/>
        <w:jc w:val="center"/>
        <w:rPr>
          <w:rFonts w:asciiTheme="minorEastAsia" w:hAnsiTheme="minorEastAsia" w:eastAsiaTheme="minorEastAsia"/>
          <w:b w:val="0"/>
          <w:sz w:val="21"/>
          <w:szCs w:val="21"/>
        </w:rPr>
      </w:pPr>
      <w:bookmarkStart w:id="82" w:name="_Toc86202632"/>
      <w:bookmarkStart w:id="83" w:name="_Toc15708"/>
      <w:r>
        <w:rPr>
          <w:rFonts w:hint="eastAsia" w:cs="Arial" w:asciiTheme="minorEastAsia" w:hAnsiTheme="minorEastAsia" w:eastAsiaTheme="minorEastAsia"/>
          <w:b w:val="0"/>
          <w:bCs w:val="0"/>
          <w:sz w:val="21"/>
          <w:szCs w:val="21"/>
        </w:rPr>
        <w:t>合同书</w:t>
      </w:r>
    </w:p>
    <w:p>
      <w:pPr>
        <w:pStyle w:val="7"/>
        <w:spacing w:line="480" w:lineRule="auto"/>
        <w:ind w:firstLine="48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 xml:space="preserve"> </w:t>
      </w:r>
    </w:p>
    <w:p>
      <w:pPr>
        <w:pStyle w:val="7"/>
        <w:spacing w:line="480" w:lineRule="auto"/>
        <w:ind w:firstLine="48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 xml:space="preserve"> </w:t>
      </w:r>
    </w:p>
    <w:p>
      <w:pPr>
        <w:pStyle w:val="12"/>
        <w:spacing w:line="480" w:lineRule="auto"/>
        <w:ind w:left="2100" w:leftChars="875" w:firstLine="316" w:firstLineChars="150"/>
        <w:rPr>
          <w:rFonts w:cs="Arial" w:asciiTheme="minorEastAsia" w:hAnsiTheme="minorEastAsia" w:eastAsiaTheme="minorEastAsia"/>
        </w:rPr>
      </w:pPr>
      <w:r>
        <w:rPr>
          <w:rFonts w:hint="eastAsia" w:cs="Arial" w:asciiTheme="minorEastAsia" w:hAnsiTheme="minorEastAsia" w:eastAsiaTheme="minorEastAsia"/>
          <w:b/>
          <w:bCs/>
        </w:rPr>
        <w:t>合同编号</w:t>
      </w:r>
      <w:r>
        <w:rPr>
          <w:rFonts w:hint="eastAsia" w:cs="Arial" w:asciiTheme="minorEastAsia" w:hAnsiTheme="minorEastAsia" w:eastAsiaTheme="minorEastAsia"/>
        </w:rPr>
        <w:t>：</w:t>
      </w:r>
      <w:r>
        <w:rPr>
          <w:rFonts w:hint="eastAsia" w:cs="Arial" w:asciiTheme="minorEastAsia" w:hAnsiTheme="minorEastAsia" w:eastAsiaTheme="minorEastAsia"/>
          <w:u w:val="single"/>
        </w:rPr>
        <w:t>JCZX-ZY-2023-2</w:t>
      </w:r>
    </w:p>
    <w:p>
      <w:pPr>
        <w:spacing w:line="480" w:lineRule="auto"/>
        <w:ind w:left="1680" w:leftChars="700"/>
        <w:rPr>
          <w:rFonts w:cs="Arial" w:asciiTheme="minorEastAsia" w:hAnsiTheme="minorEastAsia" w:eastAsiaTheme="minorEastAsia"/>
          <w:sz w:val="21"/>
          <w:szCs w:val="21"/>
        </w:rPr>
      </w:pPr>
      <w:r>
        <w:rPr>
          <w:rFonts w:hint="eastAsia" w:cs="Arial" w:asciiTheme="minorEastAsia" w:hAnsiTheme="minorEastAsia" w:eastAsiaTheme="minorEastAsia"/>
          <w:b/>
          <w:bCs/>
          <w:sz w:val="21"/>
          <w:szCs w:val="21"/>
        </w:rPr>
        <w:t xml:space="preserve">     </w:t>
      </w:r>
      <w:r>
        <w:rPr>
          <w:rFonts w:cs="Arial" w:asciiTheme="minorEastAsia" w:hAnsiTheme="minorEastAsia" w:eastAsiaTheme="minorEastAsia"/>
          <w:b/>
          <w:bCs/>
          <w:sz w:val="21"/>
          <w:szCs w:val="21"/>
        </w:rPr>
        <w:t xml:space="preserve"> </w:t>
      </w:r>
      <w:r>
        <w:rPr>
          <w:rFonts w:hint="eastAsia" w:cs="Arial" w:asciiTheme="minorEastAsia" w:hAnsiTheme="minorEastAsia" w:eastAsiaTheme="minorEastAsia"/>
          <w:b/>
          <w:bCs/>
          <w:sz w:val="21"/>
          <w:szCs w:val="21"/>
        </w:rPr>
        <w:t xml:space="preserve"> 招标编号：</w:t>
      </w:r>
      <w:r>
        <w:rPr>
          <w:rFonts w:hint="eastAsia" w:cs="Arial" w:asciiTheme="minorEastAsia" w:hAnsiTheme="minorEastAsia" w:eastAsiaTheme="minorEastAsia"/>
          <w:sz w:val="21"/>
          <w:szCs w:val="21"/>
          <w:u w:val="single"/>
        </w:rPr>
        <w:t xml:space="preserve">                     </w:t>
      </w:r>
    </w:p>
    <w:p>
      <w:pPr>
        <w:ind w:left="1680" w:leftChars="700" w:firstLine="738" w:firstLineChars="350"/>
        <w:rPr>
          <w:rFonts w:cs="Arial" w:asciiTheme="minorEastAsia" w:hAnsiTheme="minorEastAsia" w:eastAsiaTheme="minorEastAsia"/>
          <w:sz w:val="21"/>
          <w:szCs w:val="21"/>
          <w:u w:val="single"/>
        </w:rPr>
      </w:pPr>
      <w:r>
        <w:rPr>
          <w:rFonts w:hint="eastAsia" w:cs="Arial" w:asciiTheme="minorEastAsia" w:hAnsiTheme="minorEastAsia" w:eastAsiaTheme="minorEastAsia"/>
          <w:b/>
          <w:bCs/>
          <w:sz w:val="21"/>
          <w:szCs w:val="21"/>
        </w:rPr>
        <w:t>项目名称：</w:t>
      </w:r>
      <w:r>
        <w:rPr>
          <w:rFonts w:hint="eastAsia" w:cs="Arial" w:asciiTheme="minorEastAsia" w:hAnsiTheme="minorEastAsia" w:eastAsiaTheme="minorEastAsia"/>
          <w:sz w:val="21"/>
          <w:szCs w:val="21"/>
          <w:u w:val="single"/>
        </w:rPr>
        <w:t>监测调度网络和政务云租用</w:t>
      </w:r>
    </w:p>
    <w:p>
      <w:pPr>
        <w:ind w:left="3679" w:leftChars="1100" w:hanging="1039" w:hangingChars="495"/>
        <w:rPr>
          <w:rFonts w:cs="宋体" w:asciiTheme="minorEastAsia" w:hAnsiTheme="minorEastAsia" w:eastAsiaTheme="minorEastAsia"/>
          <w:sz w:val="21"/>
          <w:szCs w:val="21"/>
          <w:u w:val="single"/>
        </w:rPr>
      </w:pPr>
      <w:r>
        <w:rPr>
          <w:rFonts w:hint="eastAsia"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u w:val="single"/>
        </w:rPr>
        <w:t>第二包：政务云租用</w:t>
      </w:r>
    </w:p>
    <w:p>
      <w:pPr>
        <w:ind w:left="1680" w:leftChars="700" w:firstLine="1764" w:firstLineChars="84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p>
    <w:p>
      <w:pPr>
        <w:ind w:left="1680" w:leftChars="700"/>
        <w:rPr>
          <w:rFonts w:asciiTheme="minorEastAsia" w:hAnsiTheme="minorEastAsia" w:eastAsiaTheme="minorEastAsia"/>
          <w:sz w:val="21"/>
          <w:szCs w:val="21"/>
        </w:rPr>
      </w:pPr>
      <w:r>
        <w:rPr>
          <w:rFonts w:asciiTheme="minorEastAsia" w:hAnsiTheme="minorEastAsia" w:eastAsiaTheme="minorEastAsia"/>
          <w:sz w:val="21"/>
          <w:szCs w:val="21"/>
        </w:rPr>
        <w:t xml:space="preserve"> </w:t>
      </w:r>
    </w:p>
    <w:p>
      <w:pPr>
        <w:ind w:left="1680" w:leftChars="700"/>
        <w:rPr>
          <w:rFonts w:asciiTheme="minorEastAsia" w:hAnsiTheme="minorEastAsia" w:eastAsiaTheme="minorEastAsia"/>
          <w:sz w:val="21"/>
          <w:szCs w:val="21"/>
        </w:rPr>
      </w:pPr>
      <w:r>
        <w:rPr>
          <w:rFonts w:asciiTheme="minorEastAsia" w:hAnsiTheme="minorEastAsia" w:eastAsiaTheme="minorEastAsia"/>
          <w:sz w:val="21"/>
          <w:szCs w:val="21"/>
        </w:rPr>
        <w:t xml:space="preserve"> </w:t>
      </w:r>
    </w:p>
    <w:p>
      <w:pPr>
        <w:ind w:left="1680" w:leftChars="700"/>
        <w:rPr>
          <w:rFonts w:asciiTheme="minorEastAsia" w:hAnsiTheme="minorEastAsia" w:eastAsiaTheme="minorEastAsia"/>
          <w:sz w:val="21"/>
          <w:szCs w:val="21"/>
        </w:rPr>
      </w:pPr>
      <w:r>
        <w:rPr>
          <w:rFonts w:asciiTheme="minorEastAsia" w:hAnsiTheme="minorEastAsia" w:eastAsiaTheme="minorEastAsia"/>
          <w:sz w:val="21"/>
          <w:szCs w:val="21"/>
        </w:rPr>
        <w:t xml:space="preserve"> </w:t>
      </w:r>
    </w:p>
    <w:p>
      <w:pPr>
        <w:spacing w:line="480" w:lineRule="auto"/>
        <w:ind w:left="2640" w:leftChars="1100"/>
        <w:rPr>
          <w:rFonts w:cs="Arial" w:asciiTheme="minorEastAsia" w:hAnsiTheme="minorEastAsia" w:eastAsiaTheme="minorEastAsia"/>
          <w:b/>
          <w:bCs/>
          <w:sz w:val="21"/>
          <w:szCs w:val="21"/>
        </w:rPr>
      </w:pPr>
      <w:r>
        <w:rPr>
          <w:rFonts w:hint="eastAsia" w:cs="Arial" w:asciiTheme="minorEastAsia" w:hAnsiTheme="minorEastAsia" w:eastAsiaTheme="minorEastAsia"/>
          <w:b/>
          <w:bCs/>
          <w:sz w:val="21"/>
          <w:szCs w:val="21"/>
        </w:rPr>
        <w:t>甲  方：</w:t>
      </w:r>
      <w:r>
        <w:rPr>
          <w:rFonts w:hint="eastAsia" w:cs="Arial" w:asciiTheme="minorEastAsia" w:hAnsiTheme="minorEastAsia" w:eastAsiaTheme="minorEastAsia"/>
          <w:sz w:val="21"/>
          <w:szCs w:val="21"/>
          <w:u w:val="single"/>
        </w:rPr>
        <w:t>北京市广播电视监测中心</w:t>
      </w:r>
    </w:p>
    <w:p>
      <w:pPr>
        <w:spacing w:line="480" w:lineRule="auto"/>
        <w:ind w:left="2640" w:leftChars="1100"/>
        <w:rPr>
          <w:rFonts w:cs="Arial" w:asciiTheme="minorEastAsia" w:hAnsiTheme="minorEastAsia" w:eastAsiaTheme="minorEastAsia"/>
          <w:sz w:val="21"/>
          <w:szCs w:val="21"/>
          <w:u w:val="single"/>
        </w:rPr>
      </w:pPr>
      <w:r>
        <w:rPr>
          <w:rFonts w:hint="eastAsia" w:cs="Arial" w:asciiTheme="minorEastAsia" w:hAnsiTheme="minorEastAsia" w:eastAsiaTheme="minorEastAsia"/>
          <w:b/>
          <w:bCs/>
          <w:sz w:val="21"/>
          <w:szCs w:val="21"/>
        </w:rPr>
        <w:t>乙  方：</w:t>
      </w:r>
      <w:r>
        <w:rPr>
          <w:rFonts w:hint="eastAsia" w:asciiTheme="minorEastAsia" w:hAnsiTheme="minorEastAsia" w:eastAsiaTheme="minorEastAsia"/>
          <w:sz w:val="21"/>
          <w:szCs w:val="21"/>
          <w:u w:val="single"/>
        </w:rPr>
        <w:t xml:space="preserve">                    </w:t>
      </w:r>
    </w:p>
    <w:p>
      <w:pPr>
        <w:spacing w:line="480" w:lineRule="auto"/>
        <w:ind w:left="2640" w:leftChars="1100"/>
        <w:rPr>
          <w:rFonts w:cs="Arial" w:asciiTheme="minorEastAsia" w:hAnsiTheme="minorEastAsia" w:eastAsiaTheme="minorEastAsia"/>
          <w:b/>
          <w:bCs/>
          <w:sz w:val="21"/>
          <w:szCs w:val="21"/>
          <w:u w:val="single"/>
        </w:rPr>
      </w:pPr>
      <w:r>
        <w:rPr>
          <w:rFonts w:hint="eastAsia" w:cs="Arial" w:asciiTheme="minorEastAsia" w:hAnsiTheme="minorEastAsia" w:eastAsiaTheme="minorEastAsia"/>
          <w:b/>
          <w:bCs/>
          <w:sz w:val="21"/>
          <w:szCs w:val="21"/>
          <w:u w:val="single"/>
        </w:rPr>
        <w:t xml:space="preserve"> </w:t>
      </w:r>
    </w:p>
    <w:p>
      <w:pPr>
        <w:spacing w:line="480" w:lineRule="auto"/>
        <w:ind w:left="2220" w:leftChars="925" w:firstLine="420"/>
        <w:rPr>
          <w:rFonts w:cs="Arial" w:asciiTheme="minorEastAsia" w:hAnsiTheme="minorEastAsia" w:eastAsiaTheme="minorEastAsia"/>
          <w:b/>
          <w:bCs/>
          <w:sz w:val="21"/>
          <w:szCs w:val="21"/>
          <w:u w:val="single"/>
        </w:rPr>
      </w:pPr>
      <w:r>
        <w:rPr>
          <w:rFonts w:hint="eastAsia" w:cs="Arial" w:asciiTheme="minorEastAsia" w:hAnsiTheme="minorEastAsia" w:eastAsiaTheme="minorEastAsia"/>
          <w:b/>
          <w:bCs/>
          <w:sz w:val="21"/>
          <w:szCs w:val="21"/>
        </w:rPr>
        <w:t>签署日期：</w:t>
      </w:r>
      <w:r>
        <w:rPr>
          <w:rFonts w:hint="eastAsia" w:cs="Arial" w:asciiTheme="minorEastAsia" w:hAnsiTheme="minorEastAsia" w:eastAsiaTheme="minorEastAsia"/>
          <w:b/>
          <w:bCs/>
          <w:sz w:val="21"/>
          <w:szCs w:val="21"/>
          <w:u w:val="single"/>
        </w:rPr>
        <w:t xml:space="preserve"> 2023年   月    日 </w:t>
      </w:r>
    </w:p>
    <w:p>
      <w:pPr>
        <w:widowControl/>
        <w:spacing w:line="480" w:lineRule="auto"/>
        <w:rPr>
          <w:rFonts w:asciiTheme="minorEastAsia" w:hAnsiTheme="minorEastAsia" w:eastAsiaTheme="minorEastAsia"/>
          <w:b/>
          <w:bCs/>
          <w:sz w:val="21"/>
          <w:szCs w:val="21"/>
        </w:rPr>
        <w:sectPr>
          <w:pgSz w:w="11906" w:h="16838"/>
          <w:pgMar w:top="1440" w:right="1701" w:bottom="1440" w:left="1701" w:header="851" w:footer="992" w:gutter="0"/>
          <w:cols w:space="720" w:num="1"/>
          <w:titlePg/>
          <w:docGrid w:type="lines" w:linePitch="312" w:charSpace="0"/>
        </w:sectPr>
      </w:pPr>
    </w:p>
    <w:p>
      <w:pPr>
        <w:spacing w:line="360" w:lineRule="auto"/>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一、合同书</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北京市广播电视监测中心(甲方)</w:t>
      </w:r>
      <w:r>
        <w:rPr>
          <w:rFonts w:hint="eastAsia" w:asciiTheme="minorEastAsia" w:hAnsiTheme="minorEastAsia" w:eastAsiaTheme="minorEastAsia"/>
          <w:sz w:val="21"/>
          <w:szCs w:val="21"/>
          <w:u w:val="single"/>
        </w:rPr>
        <w:t>监测调度网络和政务云租用（第二包：政务云租用）</w:t>
      </w:r>
      <w:r>
        <w:rPr>
          <w:rFonts w:hint="eastAsia" w:asciiTheme="minorEastAsia" w:hAnsiTheme="minorEastAsia" w:eastAsiaTheme="minorEastAsia"/>
          <w:sz w:val="21"/>
          <w:szCs w:val="21"/>
        </w:rPr>
        <w:t>(项目名称)政府采购项目中所需</w:t>
      </w:r>
      <w:r>
        <w:rPr>
          <w:rFonts w:hint="eastAsia" w:asciiTheme="minorEastAsia" w:hAnsiTheme="minorEastAsia" w:eastAsiaTheme="minorEastAsia"/>
          <w:sz w:val="21"/>
          <w:szCs w:val="21"/>
          <w:u w:val="single"/>
        </w:rPr>
        <w:t>政务云租用</w:t>
      </w:r>
      <w:r>
        <w:rPr>
          <w:rFonts w:hint="eastAsia" w:asciiTheme="minorEastAsia" w:hAnsiTheme="minorEastAsia" w:eastAsiaTheme="minorEastAsia"/>
          <w:sz w:val="21"/>
          <w:szCs w:val="21"/>
        </w:rPr>
        <w:t>(服务名称)经</w:t>
      </w:r>
      <w:r>
        <w:rPr>
          <w:rFonts w:hint="eastAsia" w:asciiTheme="minorEastAsia" w:hAnsiTheme="minorEastAsia" w:eastAsiaTheme="minorEastAsia"/>
          <w:sz w:val="21"/>
          <w:szCs w:val="21"/>
          <w:u w:val="single"/>
        </w:rPr>
        <w:t>北京市政府采购中心</w:t>
      </w:r>
      <w:r>
        <w:rPr>
          <w:rFonts w:hint="eastAsia" w:asciiTheme="minorEastAsia" w:hAnsiTheme="minorEastAsia" w:eastAsiaTheme="minorEastAsia"/>
          <w:sz w:val="21"/>
          <w:szCs w:val="21"/>
        </w:rPr>
        <w:t>(招标采购单位)以</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号招标文件在国内</w:t>
      </w:r>
      <w:r>
        <w:rPr>
          <w:rFonts w:hint="eastAsia" w:asciiTheme="minorEastAsia" w:hAnsiTheme="minorEastAsia" w:eastAsiaTheme="minorEastAsia"/>
          <w:sz w:val="21"/>
          <w:szCs w:val="21"/>
          <w:u w:val="single"/>
        </w:rPr>
        <w:t>公开招标</w:t>
      </w:r>
      <w:r>
        <w:rPr>
          <w:rFonts w:hint="eastAsia" w:asciiTheme="minorEastAsia" w:hAnsiTheme="minorEastAsia" w:eastAsiaTheme="minorEastAsia"/>
          <w:sz w:val="21"/>
          <w:szCs w:val="21"/>
        </w:rPr>
        <w:t>。经评标委员会评定，</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(乙方)为中标人。甲、乙双方同意按照下面的条款和条件，签署本合同。</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1.合同文件组成</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下列文件均为本合同不可分割的组成部分，认为是一个整体，彼此相互解释、相互补充,具有同等法律效力：</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1.1本合同书</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1.2中标通知书</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1.3投标文件(含澄清文件)</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1.4招标文件(含招标文件补充通知)</w:t>
      </w:r>
    </w:p>
    <w:p>
      <w:pPr>
        <w:spacing w:line="360" w:lineRule="auto"/>
        <w:ind w:firstLine="540"/>
        <w:rPr>
          <w:rFonts w:asciiTheme="minorEastAsia" w:hAnsiTheme="minorEastAsia" w:eastAsiaTheme="minorEastAsia"/>
          <w:sz w:val="21"/>
          <w:szCs w:val="21"/>
        </w:rPr>
      </w:pPr>
      <w:r>
        <w:rPr>
          <w:rFonts w:hint="eastAsia" w:asciiTheme="minorEastAsia" w:hAnsiTheme="minorEastAsia" w:eastAsiaTheme="minorEastAsia"/>
          <w:sz w:val="21"/>
          <w:szCs w:val="21"/>
        </w:rPr>
        <w:t>上述文件互为补充和解释，如有不清或相互矛盾之处，以所列顺序在前的为准，但甲、乙双方有特别约定的除外。</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2.合同总价</w:t>
      </w:r>
    </w:p>
    <w:p>
      <w:pPr>
        <w:spacing w:line="360" w:lineRule="auto"/>
        <w:ind w:left="65" w:leftChars="27"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本合同总价为</w:t>
      </w:r>
      <w:r>
        <w:rPr>
          <w:rFonts w:hint="eastAsia" w:cs="Arial" w:asciiTheme="minorEastAsia" w:hAnsiTheme="minorEastAsia" w:eastAsiaTheme="minorEastAsia"/>
          <w:sz w:val="21"/>
          <w:szCs w:val="21"/>
          <w:u w:val="single"/>
        </w:rPr>
        <w:t>¥</w:t>
      </w:r>
      <w:r>
        <w:rPr>
          <w:rFonts w:hint="eastAsia" w:asciiTheme="minorEastAsia" w:hAnsiTheme="minorEastAsia" w:eastAsiaTheme="minorEastAsia"/>
          <w:sz w:val="21"/>
          <w:szCs w:val="21"/>
          <w:u w:val="single"/>
        </w:rPr>
        <w:t xml:space="preserve">           元</w:t>
      </w:r>
      <w:r>
        <w:rPr>
          <w:rFonts w:hint="eastAsia" w:asciiTheme="minorEastAsia" w:hAnsiTheme="minorEastAsia" w:eastAsiaTheme="minorEastAsia"/>
          <w:sz w:val="21"/>
          <w:szCs w:val="21"/>
        </w:rPr>
        <w:t>,大写</w:t>
      </w:r>
      <w:r>
        <w:rPr>
          <w:rFonts w:hint="eastAsia" w:asciiTheme="minorEastAsia" w:hAnsiTheme="minorEastAsia" w:eastAsiaTheme="minorEastAsia"/>
          <w:sz w:val="21"/>
          <w:szCs w:val="21"/>
          <w:u w:val="single"/>
        </w:rPr>
        <w:t xml:space="preserve">人民币：           </w:t>
      </w:r>
      <w:r>
        <w:rPr>
          <w:rFonts w:hint="eastAsia" w:asciiTheme="minorEastAsia" w:hAnsiTheme="minorEastAsia" w:eastAsiaTheme="minorEastAsia"/>
          <w:sz w:val="21"/>
          <w:szCs w:val="21"/>
        </w:rPr>
        <w:t>。</w:t>
      </w:r>
    </w:p>
    <w:p>
      <w:pPr>
        <w:spacing w:line="360" w:lineRule="auto"/>
        <w:ind w:left="3638" w:leftChars="1516" w:firstLine="315" w:firstLineChars="150"/>
        <w:rPr>
          <w:rFonts w:cs="Arial" w:asciiTheme="minorEastAsia" w:hAnsiTheme="minorEastAsia" w:eastAsiaTheme="minorEastAsia"/>
          <w:sz w:val="21"/>
          <w:szCs w:val="21"/>
        </w:rPr>
      </w:pPr>
      <w:r>
        <w:rPr>
          <w:rFonts w:hint="eastAsia" w:asciiTheme="minorEastAsia" w:hAnsiTheme="minorEastAsia" w:eastAsiaTheme="minorEastAsia"/>
          <w:sz w:val="21"/>
          <w:szCs w:val="21"/>
        </w:rPr>
        <w:t xml:space="preserve">分项价格一览表           </w:t>
      </w:r>
      <w:r>
        <w:rPr>
          <w:rFonts w:hint="eastAsia" w:cs="Arial" w:asciiTheme="minorEastAsia" w:hAnsiTheme="minorEastAsia" w:eastAsiaTheme="minorEastAsia"/>
          <w:sz w:val="21"/>
          <w:szCs w:val="21"/>
        </w:rPr>
        <w:t>单位：人民币 元</w:t>
      </w:r>
    </w:p>
    <w:tbl>
      <w:tblPr>
        <w:tblStyle w:val="18"/>
        <w:tblW w:w="9190" w:type="dxa"/>
        <w:jc w:val="center"/>
        <w:tblLayout w:type="fixed"/>
        <w:tblCellMar>
          <w:top w:w="0" w:type="dxa"/>
          <w:left w:w="108" w:type="dxa"/>
          <w:bottom w:w="0" w:type="dxa"/>
          <w:right w:w="108" w:type="dxa"/>
        </w:tblCellMar>
      </w:tblPr>
      <w:tblGrid>
        <w:gridCol w:w="803"/>
        <w:gridCol w:w="5977"/>
        <w:gridCol w:w="1701"/>
        <w:gridCol w:w="709"/>
      </w:tblGrid>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序号</w:t>
            </w:r>
          </w:p>
        </w:tc>
        <w:tc>
          <w:tcPr>
            <w:tcW w:w="5977" w:type="dxa"/>
            <w:tcBorders>
              <w:top w:val="single" w:color="000000" w:sz="8" w:space="0"/>
              <w:left w:val="nil"/>
              <w:bottom w:val="single" w:color="000000" w:sz="8" w:space="0"/>
              <w:right w:val="single" w:color="000000" w:sz="8" w:space="0"/>
            </w:tcBorders>
            <w:vAlign w:val="center"/>
          </w:tcPr>
          <w:p>
            <w:pPr>
              <w:widowControl/>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名目</w:t>
            </w:r>
          </w:p>
        </w:tc>
        <w:tc>
          <w:tcPr>
            <w:tcW w:w="1701" w:type="dxa"/>
            <w:tcBorders>
              <w:top w:val="single" w:color="000000" w:sz="8" w:space="0"/>
              <w:left w:val="nil"/>
              <w:bottom w:val="single" w:color="000000" w:sz="8" w:space="0"/>
              <w:right w:val="single" w:color="000000" w:sz="8" w:space="0"/>
            </w:tcBorders>
            <w:vAlign w:val="center"/>
          </w:tcPr>
          <w:p>
            <w:pPr>
              <w:widowControl/>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分项报价</w:t>
            </w:r>
          </w:p>
        </w:tc>
        <w:tc>
          <w:tcPr>
            <w:tcW w:w="709" w:type="dxa"/>
            <w:tcBorders>
              <w:top w:val="single" w:color="000000" w:sz="8" w:space="0"/>
              <w:left w:val="nil"/>
              <w:bottom w:val="single" w:color="000000" w:sz="8" w:space="0"/>
              <w:right w:val="single" w:color="000000" w:sz="8" w:space="0"/>
            </w:tcBorders>
            <w:vAlign w:val="center"/>
          </w:tcPr>
          <w:p>
            <w:pPr>
              <w:widowControl/>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备注</w:t>
            </w: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color w:val="000000"/>
                <w:sz w:val="21"/>
                <w:szCs w:val="21"/>
              </w:rPr>
            </w:pPr>
          </w:p>
        </w:tc>
        <w:tc>
          <w:tcPr>
            <w:tcW w:w="5977"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20" w:hRule="atLeast"/>
          <w:jc w:val="center"/>
        </w:trPr>
        <w:tc>
          <w:tcPr>
            <w:tcW w:w="803" w:type="dxa"/>
            <w:tcBorders>
              <w:top w:val="nil"/>
              <w:left w:val="single" w:color="000000" w:sz="8" w:space="0"/>
              <w:bottom w:val="single" w:color="000000" w:sz="8" w:space="0"/>
              <w:right w:val="single" w:color="000000" w:sz="8" w:space="0"/>
            </w:tcBorders>
            <w:vAlign w:val="center"/>
          </w:tcPr>
          <w:p>
            <w:pPr>
              <w:widowControl/>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合计</w:t>
            </w:r>
          </w:p>
        </w:tc>
        <w:tc>
          <w:tcPr>
            <w:tcW w:w="5977" w:type="dxa"/>
            <w:tcBorders>
              <w:top w:val="nil"/>
              <w:left w:val="nil"/>
              <w:bottom w:val="single" w:color="000000" w:sz="8" w:space="0"/>
              <w:right w:val="single" w:color="000000" w:sz="8" w:space="0"/>
            </w:tcBorders>
            <w:vAlign w:val="center"/>
          </w:tcPr>
          <w:p>
            <w:pPr>
              <w:widowControl/>
              <w:jc w:val="center"/>
              <w:rPr>
                <w:rFonts w:asciiTheme="minorEastAsia" w:hAnsiTheme="minorEastAsia" w:eastAsiaTheme="minorEastAsia"/>
                <w:b/>
                <w:bCs/>
                <w:color w:val="000000"/>
                <w:sz w:val="21"/>
                <w:szCs w:val="21"/>
              </w:rPr>
            </w:pPr>
          </w:p>
        </w:tc>
        <w:tc>
          <w:tcPr>
            <w:tcW w:w="1701" w:type="dxa"/>
            <w:tcBorders>
              <w:top w:val="single" w:color="000000" w:sz="8" w:space="0"/>
              <w:left w:val="nil"/>
              <w:bottom w:val="single" w:color="000000" w:sz="8" w:space="0"/>
              <w:right w:val="single" w:color="000000" w:sz="8" w:space="0"/>
            </w:tcBorders>
            <w:vAlign w:val="center"/>
          </w:tcPr>
          <w:p>
            <w:pPr>
              <w:widowControl/>
              <w:jc w:val="right"/>
              <w:rPr>
                <w:rFonts w:asciiTheme="minorEastAsia" w:hAnsiTheme="minorEastAsia" w:eastAsiaTheme="minorEastAsia"/>
                <w:b/>
                <w:bCs/>
                <w:color w:val="000000"/>
                <w:sz w:val="21"/>
                <w:szCs w:val="21"/>
              </w:rPr>
            </w:pPr>
          </w:p>
        </w:tc>
        <w:tc>
          <w:tcPr>
            <w:tcW w:w="709" w:type="dxa"/>
            <w:tcBorders>
              <w:top w:val="single" w:color="000000" w:sz="8" w:space="0"/>
              <w:left w:val="nil"/>
              <w:bottom w:val="single" w:color="000000" w:sz="8" w:space="0"/>
              <w:right w:val="single" w:color="000000" w:sz="8" w:space="0"/>
            </w:tcBorders>
            <w:vAlign w:val="center"/>
          </w:tcPr>
          <w:p>
            <w:pPr>
              <w:widowControl/>
              <w:rPr>
                <w:rFonts w:asciiTheme="minorEastAsia" w:hAnsiTheme="minorEastAsia" w:eastAsiaTheme="minorEastAsia"/>
                <w:b/>
                <w:bCs/>
                <w:color w:val="000000"/>
                <w:sz w:val="21"/>
                <w:szCs w:val="21"/>
              </w:rPr>
            </w:pPr>
          </w:p>
        </w:tc>
      </w:tr>
    </w:tbl>
    <w:p>
      <w:pPr>
        <w:spacing w:line="360" w:lineRule="auto"/>
        <w:ind w:firstLine="422" w:firstLineChars="200"/>
        <w:rPr>
          <w:rFonts w:cs="宋体" w:asciiTheme="minorEastAsia" w:hAnsiTheme="minorEastAsia" w:eastAsiaTheme="minorEastAsia"/>
          <w:b/>
          <w:bCs/>
          <w:kern w:val="2"/>
          <w:sz w:val="21"/>
          <w:szCs w:val="21"/>
        </w:rPr>
      </w:pPr>
      <w:r>
        <w:rPr>
          <w:rFonts w:hint="eastAsia" w:asciiTheme="minorEastAsia" w:hAnsiTheme="minorEastAsia" w:eastAsiaTheme="minorEastAsia"/>
          <w:b/>
          <w:bCs/>
          <w:sz w:val="21"/>
          <w:szCs w:val="21"/>
        </w:rPr>
        <w:t xml:space="preserve"> </w:t>
      </w:r>
    </w:p>
    <w:p>
      <w:pPr>
        <w:spacing w:line="360" w:lineRule="auto"/>
        <w:ind w:firstLine="422" w:firstLineChars="20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3. 服务内容</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本合同服务内容：招标文件第四部分服务要求。</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4.服务范围</w:t>
      </w:r>
    </w:p>
    <w:p>
      <w:pPr>
        <w:spacing w:line="360" w:lineRule="auto"/>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rPr>
        <w:t>4.1本合同服务界定于以下范围：</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项目范围包括：招标文件第四部分服务要求。 </w:t>
      </w:r>
    </w:p>
    <w:p>
      <w:pPr>
        <w:spacing w:line="360" w:lineRule="auto"/>
        <w:ind w:firstLine="422" w:firstLineChars="200"/>
        <w:rPr>
          <w:rFonts w:asciiTheme="minorEastAsia" w:hAnsiTheme="minorEastAsia" w:eastAsiaTheme="minorEastAsia"/>
          <w:sz w:val="21"/>
          <w:szCs w:val="21"/>
        </w:rPr>
      </w:pPr>
      <w:r>
        <w:rPr>
          <w:rFonts w:hint="eastAsia" w:asciiTheme="minorEastAsia" w:hAnsiTheme="minorEastAsia" w:eastAsiaTheme="minorEastAsia"/>
          <w:b/>
          <w:bCs/>
          <w:sz w:val="21"/>
          <w:szCs w:val="21"/>
        </w:rPr>
        <w:t>5.服务期限</w:t>
      </w:r>
    </w:p>
    <w:p>
      <w:pPr>
        <w:spacing w:line="360" w:lineRule="auto"/>
        <w:ind w:firstLine="465"/>
        <w:rPr>
          <w:rFonts w:asciiTheme="minorEastAsia" w:hAnsiTheme="minorEastAsia" w:eastAsiaTheme="minorEastAsia"/>
          <w:kern w:val="2"/>
          <w:sz w:val="21"/>
          <w:szCs w:val="21"/>
        </w:rPr>
      </w:pPr>
      <w:r>
        <w:rPr>
          <w:rFonts w:hint="eastAsia" w:asciiTheme="minorEastAsia" w:hAnsiTheme="minorEastAsia" w:eastAsiaTheme="minorEastAsia"/>
          <w:sz w:val="21"/>
          <w:szCs w:val="21"/>
        </w:rPr>
        <w:t>服务期限：一年（2023年7月1日至2024年6月30日）</w:t>
      </w:r>
    </w:p>
    <w:p>
      <w:pPr>
        <w:spacing w:line="360" w:lineRule="auto"/>
        <w:ind w:firstLine="48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6.付款方式</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6.1合同签订生效后5个工作日内，乙方向甲方支付合同总价的10%作为合同履约保证金，即人民币         万元，甲方收到乙方的履约保证金后10个工作日内，向乙方支付80%合同款，即人民币         万元；乙方按照合同规定履行服务满2个月后，甲方向乙方支付20%合同尾款，即人民币       万元；合同期满后，若乙方完全履行了合同所规定的条款，经甲方验收合格后且无任何争议或遗留问题，在10个工作日内，甲方向乙方无息退还合同履约保证金，即人民币          万元。</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6.2 乙方户名、开户银行名称和帐号为：</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户  名:  </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开户行: </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帐  号: </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6.3 甲方向乙方支付服务费的同时，乙方应向甲方出具同等金额的商业服务发票。</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甲方开票信息为：</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户  名：北京市广播电视监测中心</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税  号：1211000079755080XU</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7.商业秘密</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7.1任何一方对于因签署或履行本合同而了解或接触到的对方的商业秘密及其他机密资料和信息（以下简称“保密信息”）均应保守秘密；非经对方书面同意，任何一方不得向第三方泄露、给予或转让该等保密信息；</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7.2除本合同规定之工作所需外，未经对方事先同意，不得擅自使用、复制对方的商标、标志、商业信息、技术及其他资料。</w:t>
      </w:r>
    </w:p>
    <w:p>
      <w:pPr>
        <w:spacing w:line="360" w:lineRule="auto"/>
        <w:ind w:firstLine="422" w:firstLineChars="20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8.权利义务条款</w:t>
      </w:r>
    </w:p>
    <w:p>
      <w:pPr>
        <w:spacing w:line="360" w:lineRule="auto"/>
        <w:ind w:firstLine="422" w:firstLineChars="20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甲方权利义务</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8.1接受乙方提交的符合本合同约定条件的工作成果或者相关文件；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8.2甲方有权向乙方提出明确的工作要求、工作目标和需求等，并审定乙方提交的委托项目工作方案和配套工作计划；</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8.3甲方有权对项目承办的筹备过程和实施过程进行监督和指导，检查监督乙方完成委托项目工作的进度，对于乙方不履行合同、不适当履行合同等行为，甲方有权要求乙方立即更正，并采取其他补救措施；</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8.4组织专家或者通过评估，对乙方提交的委托项目工作成果的质量进行评审或验收；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8.5为保证乙方工作顺利进行，甲方须及时向乙方提供完成委托事项所必须的技术资料和工作条件。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8.6负责按照合同约定收集、整理与委托事项有关的项目背景资料及相关技术资料和数据并提供给乙方；</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8.7负责委托项目所涉及的、与甲方有关的外部联系和协调工作。</w:t>
      </w:r>
    </w:p>
    <w:p>
      <w:pPr>
        <w:spacing w:line="360" w:lineRule="auto"/>
        <w:ind w:firstLine="422" w:firstLineChars="20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乙方权利义务</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8.8有权接受甲方按照合同约定支付的委托报酬；</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8.9乙方发现甲方提供的技术资料、数据有明显错误和缺陷的，有权于收到上述资料后3日内书面通知甲方进行补充、修改。如逾期未提出异议的，则视为甲方提交的资料、数据符合合同约定的条件；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8.10乙方在其经营许可的范围内，依本合同的约定向甲方提供专业的服务，并在规定的委托项目工作时间期限内完成委托项目的工作；</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8.11乙方应当遵守国家法律、法规和行业行为准则为甲方完成委托项目的工作；乙方提交的工作成果必须达到合同约定的要求，并对其完成的委托项目工作成果全面负责；</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8.12乙方应当认真按照合同要求完成委托项目工作，随时接受甲方的检查监督，并为检查监督提供便利条件；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8.13甲方对乙方提交的委托项目工作成果提出质疑或者要求乙方答复时，乙方须在收到甲方的质疑后2个工作日内给予书面解释或者答复；</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8.14除双方另有约定外，为本项目进行调查研究、分析论证、试验测定以及到外地进行调研、收集资料所发生的费用，由乙方自行承担；乙方自行负担因履行本合同产生的各项税负；</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8.15乙方在履行合同期间使用的由甲方提供或者支付费用的设备设施，属于甲方的财产，乙方在完成委托项目并向甲方提交工作成果时，应当将设备设施归还给甲方。</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8.16未经甲方书面同意，乙方不得将承办项目全部或者部分承办任务转委托其他第三方机构或组织承担。</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9.违约责任</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9.1甲、乙双方应正当行使权利，履行义务，保证本合同的顺利履行；</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9.2乙方没有充分、及时履行义务的，应当承担违约责任；给甲方造成损失的，应赔偿甲方由此所遭受的直接和间接经济损失。</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9.3 由于乙方的过错造成其提供的服务不能满足合同中规定的要求，则甲方应以书面形式通知乙方予以改进。乙方自接到书面通知之日起15 日予以改进或向甲方提出书面异议。否则，甲方有权要求乙方支付违约金，违约金的金额为不满足合同要求部分的服务费总额的10%，并赔偿由此给甲方带来的相关损失。由于乙方的过错造成其不能按时完成服务的，每逾期1个工作日，乙方向甲方支付违约金，违约金的金额为服务费总额的1% 。上述两项违约金的金额可以叠加。如违约金总额超过服务费总额的30%，甲方有权解除合同，乙方应向甲方返还已支付合同费用,违约金不足以弥补甲方损失的，乙方赔偿由此给甲方带来的所有损失。</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9.4 因乙方原因致使甲方遭受第三方追诉的，乙方应赔偿由此给甲方造成的损失。</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10.免责规定</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10.1若双方因地震、火灾、水灾等自然灾害，战争等不可抗力原因或国家政策调整致使本合同无法履行的，双方应协商解决，互不承担责任；</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10.2若免责条件结束后，本合同内容仍能继续履行，本合同继续有效。</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11.乙方的保证</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乙方保证在履行本合同过程中提供的服务不侵犯任何第三方的合法权益或引起任何第三方的指控或行政机关的处罚，因乙方过错导致任何第三方向甲方主张侵权或赔偿或行政处罚，因此而发生的一切费用、赔偿金及罚金由乙方承担。同时乙方需提供全力支持，防止因上述侵权或可能的侵权给甲方造成的损失，包括但不限于提供甲方继续使用本合同项下的服务而需取得的第三方授权、修改本合同项下服务使其至少在功能上可以替代原服务、提供功能上相等的使甲方可以达到本合同目的的其他服务，并由乙方承担因此而产生的所有的费用。</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乙方在提供服务过程中，应严格遵守甲方的规章制度。乙方员工在实施过程中由于自身原因发生安全事故，造成甲方、第三方、乙方人员自身的财产、人身损害等，由乙方负责解决并承担相关责任。</w:t>
      </w:r>
    </w:p>
    <w:p>
      <w:pPr>
        <w:spacing w:line="360" w:lineRule="auto"/>
        <w:outlineLvl w:val="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12.培训</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合同期间，乙方应根据甲方工作需要，免费为甲方提供与合同相关的业务培训。</w:t>
      </w:r>
    </w:p>
    <w:p>
      <w:pPr>
        <w:spacing w:line="360" w:lineRule="auto"/>
        <w:ind w:firstLine="422" w:firstLineChars="200"/>
        <w:outlineLvl w:val="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13. 验收</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13.1 验收时间：合同期满后，在10个工作日内。 </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13.2 验收标准及方式：乙方完全履行了合同所规定的条款，且无任何争议或遗留问题，按照甲方的项目验收要求进行验收，验收相关费用由乙方承担。</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14.合同执行</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14.1本合同执行过程中，甲、乙双方如需要修改、增删本合同条款内容，应在双方都认可的情况下加入本合同附件。附件具有同等法律效力；</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14.2本合同其效力、解释、履行和争议的解决，适用于中华人民共和国法律，属中华人民共和国法律管辖；</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14.3双方合同执行中如有争议，应友好协商解决，协商不成按照中华人民共和国有关法律提交甲方所在地有管辖权人民法院解决。</w:t>
      </w:r>
    </w:p>
    <w:p>
      <w:pPr>
        <w:spacing w:line="360" w:lineRule="auto"/>
        <w:ind w:firstLine="422" w:firstLineChars="20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15.廉政承诺</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15.1合同双方承诺共同加强廉洁自律、反对商业贿赂。</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15.2甲方及其工作人员不得收受可能影响正常执行公务的礼品、礼金、消费卡和有价证券、股权、其他金融产品等财物；不得在乙方报销应由本单位或个人支付的费用；不得以参与项目实施为名，接受乙方从该项目中支取的劳务报酬；不得参加乙方安排的可能影响公正执行公务的宴请或者旅游、健身、娱乐等活动。</w:t>
      </w:r>
    </w:p>
    <w:p>
      <w:pPr>
        <w:spacing w:line="360" w:lineRule="auto"/>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15.3乙方不得向甲方及其工作人员馈赠可能影响公正执行公务的礼品、礼金、消费卡和有价证券、股权、其他金融产品等财物；不得为其报销应由甲方单位或个人支付的费用；不得向甲方工作人员支付劳务报酬；不得安排甲方工作人员参加可能影响公正执行公务的宴请或者旅游、健身、娱乐等活动。</w:t>
      </w:r>
    </w:p>
    <w:p>
      <w:pPr>
        <w:spacing w:line="36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    16.合同生效和其它</w:t>
      </w:r>
    </w:p>
    <w:p>
      <w:pPr>
        <w:spacing w:line="360" w:lineRule="auto"/>
        <w:ind w:firstLine="465"/>
        <w:rPr>
          <w:rFonts w:asciiTheme="minorEastAsia" w:hAnsiTheme="minorEastAsia" w:eastAsiaTheme="minorEastAsia"/>
          <w:sz w:val="21"/>
          <w:szCs w:val="21"/>
        </w:rPr>
      </w:pPr>
      <w:r>
        <w:rPr>
          <w:rFonts w:hint="eastAsia" w:asciiTheme="minorEastAsia" w:hAnsiTheme="minorEastAsia" w:eastAsiaTheme="minorEastAsia"/>
          <w:sz w:val="21"/>
          <w:szCs w:val="21"/>
        </w:rPr>
        <w:t>16.1本合同经双方法定代表人或授权代表人签字、盖章之日起生效；</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16.2本合同一式捌份。甲方执肆份，乙方及招标代理公司各执贰份，具有同等法律效力。</w:t>
      </w:r>
    </w:p>
    <w:p>
      <w:pPr>
        <w:spacing w:before="12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spacing w:before="12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spacing w:before="120" w:line="360" w:lineRule="auto"/>
        <w:rPr>
          <w:rFonts w:asciiTheme="minorEastAsia" w:hAnsiTheme="minorEastAsia" w:eastAsiaTheme="minorEastAsia"/>
          <w:spacing w:val="-10"/>
          <w:sz w:val="21"/>
          <w:szCs w:val="21"/>
          <w:u w:val="single"/>
        </w:rPr>
      </w:pPr>
      <w:r>
        <w:rPr>
          <w:rFonts w:hint="eastAsia" w:cs="Arial" w:asciiTheme="minorEastAsia" w:hAnsiTheme="minorEastAsia" w:eastAsiaTheme="minorEastAsia"/>
          <w:sz w:val="21"/>
          <w:szCs w:val="21"/>
        </w:rPr>
        <w:t>甲 方：</w:t>
      </w:r>
      <w:r>
        <w:rPr>
          <w:rFonts w:hint="eastAsia" w:asciiTheme="minorEastAsia" w:hAnsiTheme="minorEastAsia" w:eastAsiaTheme="minorEastAsia"/>
          <w:sz w:val="21"/>
          <w:szCs w:val="21"/>
          <w:u w:val="single"/>
        </w:rPr>
        <w:t>北京市广播电视监测中心</w:t>
      </w:r>
      <w:r>
        <w:rPr>
          <w:rFonts w:hint="eastAsia" w:cs="Arial" w:asciiTheme="minorEastAsia" w:hAnsiTheme="minorEastAsia" w:eastAsiaTheme="minorEastAsia"/>
          <w:sz w:val="21"/>
          <w:szCs w:val="21"/>
          <w:u w:val="single"/>
        </w:rPr>
        <w:t xml:space="preserve"> </w:t>
      </w:r>
      <w:r>
        <w:rPr>
          <w:rFonts w:hint="eastAsia" w:cs="Arial" w:asciiTheme="minorEastAsia" w:hAnsiTheme="minorEastAsia" w:eastAsiaTheme="minorEastAsia"/>
          <w:sz w:val="21"/>
          <w:szCs w:val="21"/>
        </w:rPr>
        <w:t xml:space="preserve">       乙 方：</w:t>
      </w:r>
      <w:r>
        <w:rPr>
          <w:rFonts w:hint="eastAsia" w:asciiTheme="minorEastAsia" w:hAnsiTheme="minorEastAsia" w:eastAsiaTheme="minorEastAsia"/>
          <w:spacing w:val="-10"/>
          <w:sz w:val="21"/>
          <w:szCs w:val="21"/>
          <w:u w:val="single"/>
        </w:rPr>
        <w:t xml:space="preserve">                  </w:t>
      </w:r>
    </w:p>
    <w:p>
      <w:pPr>
        <w:spacing w:before="120" w:line="360" w:lineRule="auto"/>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名称：(印章)</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名称： (印章)</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授权代表(签字)：</w:t>
      </w:r>
      <w:r>
        <w:rPr>
          <w:rFonts w:hint="eastAsia" w:cs="Arial" w:asciiTheme="minorEastAsia" w:hAnsiTheme="minorEastAsia" w:eastAsiaTheme="minorEastAsia"/>
          <w:sz w:val="21"/>
          <w:szCs w:val="21"/>
          <w:u w:val="single"/>
        </w:rPr>
        <w:t xml:space="preserve">            </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授权代表(签字)：</w:t>
      </w:r>
      <w:r>
        <w:rPr>
          <w:rFonts w:hint="eastAsia" w:cs="Arial" w:asciiTheme="minorEastAsia" w:hAnsiTheme="minorEastAsia" w:eastAsiaTheme="minorEastAsia"/>
          <w:sz w:val="21"/>
          <w:szCs w:val="21"/>
          <w:u w:val="single"/>
        </w:rPr>
        <w:tab/>
      </w:r>
      <w:r>
        <w:rPr>
          <w:rFonts w:hint="eastAsia" w:cs="Arial"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地  址：</w:t>
      </w:r>
      <w:r>
        <w:rPr>
          <w:rFonts w:hint="eastAsia" w:cs="Arial" w:asciiTheme="minorEastAsia" w:hAnsiTheme="minorEastAsia" w:eastAsiaTheme="minorEastAsia"/>
          <w:sz w:val="21"/>
          <w:szCs w:val="21"/>
          <w:u w:val="single"/>
        </w:rPr>
        <w:tab/>
      </w:r>
      <w:r>
        <w:rPr>
          <w:rFonts w:hint="eastAsia" w:cs="Arial" w:asciiTheme="minorEastAsia" w:hAnsiTheme="minorEastAsia" w:eastAsiaTheme="minorEastAsia"/>
          <w:sz w:val="21"/>
          <w:szCs w:val="21"/>
          <w:u w:val="single"/>
        </w:rPr>
        <w:t>北京市朝阳区</w:t>
      </w:r>
      <w:r>
        <w:rPr>
          <w:rFonts w:hint="eastAsia" w:asciiTheme="minorEastAsia" w:hAnsiTheme="minorEastAsia" w:eastAsiaTheme="minorEastAsia"/>
          <w:sz w:val="21"/>
          <w:szCs w:val="21"/>
          <w:u w:val="single"/>
        </w:rPr>
        <w:t>建国门</w:t>
      </w:r>
      <w:r>
        <w:rPr>
          <w:rFonts w:hint="eastAsia" w:cs="Arial" w:asciiTheme="minorEastAsia" w:hAnsiTheme="minorEastAsia" w:eastAsiaTheme="minorEastAsia"/>
          <w:sz w:val="21"/>
          <w:szCs w:val="21"/>
          <w:u w:val="single"/>
        </w:rPr>
        <w:t xml:space="preserve"> </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地  址：</w:t>
      </w:r>
      <w:r>
        <w:rPr>
          <w:rFonts w:hint="eastAsia"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外大街14号 </w:t>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邮政编码：</w:t>
      </w:r>
      <w:r>
        <w:rPr>
          <w:rFonts w:hint="eastAsia" w:cs="Arial" w:asciiTheme="minorEastAsia" w:hAnsiTheme="minorEastAsia" w:eastAsiaTheme="minorEastAsia"/>
          <w:sz w:val="21"/>
          <w:szCs w:val="21"/>
          <w:u w:val="single"/>
        </w:rPr>
        <w:t xml:space="preserve">100022   </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邮政编码：</w:t>
      </w:r>
      <w:r>
        <w:rPr>
          <w:rFonts w:hint="eastAsia" w:cs="Arial"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电  话：</w:t>
      </w:r>
      <w:r>
        <w:rPr>
          <w:rFonts w:hint="eastAsia" w:cs="Arial" w:asciiTheme="minorEastAsia" w:hAnsiTheme="minorEastAsia" w:eastAsiaTheme="minorEastAsia"/>
          <w:sz w:val="21"/>
          <w:szCs w:val="21"/>
          <w:u w:val="single"/>
        </w:rPr>
        <w:t xml:space="preserve">65155241 </w:t>
      </w:r>
      <w:r>
        <w:rPr>
          <w:rFonts w:hint="eastAsia" w:cs="Arial" w:asciiTheme="minorEastAsia" w:hAnsiTheme="minorEastAsia" w:eastAsiaTheme="minorEastAsia"/>
          <w:sz w:val="21"/>
          <w:szCs w:val="21"/>
        </w:rPr>
        <w:t xml:space="preserve">                  电  话：</w:t>
      </w:r>
      <w:r>
        <w:rPr>
          <w:rFonts w:hint="eastAsia" w:cs="Arial"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联 系 人：</w:t>
      </w:r>
      <w:r>
        <w:rPr>
          <w:rFonts w:hint="eastAsia" w:cs="Arial" w:asciiTheme="minorEastAsia" w:hAnsiTheme="minorEastAsia" w:eastAsiaTheme="minorEastAsia"/>
          <w:sz w:val="21"/>
          <w:szCs w:val="21"/>
          <w:u w:val="single"/>
        </w:rPr>
        <w:t xml:space="preserve">殷悦 </w:t>
      </w:r>
      <w:r>
        <w:rPr>
          <w:rFonts w:hint="eastAsia" w:cs="Arial" w:asciiTheme="minorEastAsia" w:hAnsiTheme="minorEastAsia" w:eastAsiaTheme="minorEastAsia"/>
          <w:sz w:val="21"/>
          <w:szCs w:val="21"/>
        </w:rPr>
        <w:t xml:space="preserve">                       联 系 人：</w:t>
      </w:r>
      <w:r>
        <w:rPr>
          <w:rFonts w:hint="eastAsia" w:cs="Arial" w:asciiTheme="minorEastAsia" w:hAnsiTheme="minorEastAsia" w:eastAsiaTheme="minorEastAsia"/>
          <w:sz w:val="21"/>
          <w:szCs w:val="21"/>
          <w:u w:val="single"/>
        </w:rPr>
        <w:t xml:space="preserve">          </w:t>
      </w:r>
    </w:p>
    <w:p>
      <w:pPr>
        <w:spacing w:before="120" w:line="360" w:lineRule="auto"/>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rPr>
        <w:t>开户银行：</w:t>
      </w:r>
      <w:r>
        <w:rPr>
          <w:rFonts w:hint="eastAsia" w:cs="Arial" w:asciiTheme="minorEastAsia" w:hAnsiTheme="minorEastAsia" w:eastAsiaTheme="minorEastAsia"/>
          <w:sz w:val="21"/>
          <w:szCs w:val="21"/>
          <w:u w:val="single"/>
        </w:rPr>
        <w:tab/>
      </w:r>
      <w:r>
        <w:rPr>
          <w:rFonts w:hint="eastAsia" w:cs="Arial" w:asciiTheme="minorEastAsia" w:hAnsiTheme="minorEastAsia" w:eastAsiaTheme="minorEastAsia"/>
          <w:sz w:val="21"/>
          <w:szCs w:val="21"/>
          <w:u w:val="single"/>
        </w:rPr>
        <w:t>工行北京电信大楼支行</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开户银行：</w:t>
      </w:r>
      <w:r>
        <w:rPr>
          <w:rFonts w:hint="eastAsia" w:asciiTheme="minorEastAsia" w:hAnsiTheme="minorEastAsia" w:eastAsiaTheme="minorEastAsia"/>
          <w:sz w:val="21"/>
          <w:szCs w:val="21"/>
          <w:u w:val="single"/>
        </w:rPr>
        <w:t xml:space="preserve">            </w:t>
      </w:r>
    </w:p>
    <w:p>
      <w:pPr>
        <w:spacing w:before="120" w:line="360" w:lineRule="auto"/>
        <w:rPr>
          <w:rFonts w:cs="宋体" w:asciiTheme="minorEastAsia" w:hAnsiTheme="minorEastAsia" w:eastAsiaTheme="minorEastAsia"/>
          <w:sz w:val="21"/>
          <w:szCs w:val="21"/>
        </w:rPr>
      </w:pPr>
      <w:r>
        <w:rPr>
          <w:rFonts w:hint="eastAsia" w:cs="Arial" w:asciiTheme="minorEastAsia" w:hAnsiTheme="minorEastAsia" w:eastAsiaTheme="minorEastAsia"/>
          <w:sz w:val="21"/>
          <w:szCs w:val="21"/>
        </w:rPr>
        <w:t>账  号：</w:t>
      </w:r>
      <w:r>
        <w:rPr>
          <w:rFonts w:hint="eastAsia" w:asciiTheme="minorEastAsia" w:hAnsiTheme="minorEastAsia" w:eastAsiaTheme="minorEastAsia"/>
          <w:sz w:val="21"/>
          <w:szCs w:val="21"/>
          <w:u w:val="single"/>
        </w:rPr>
        <w:t>0200235229200035568</w:t>
      </w:r>
      <w:r>
        <w:rPr>
          <w:rFonts w:hint="eastAsia" w:cs="Arial" w:asciiTheme="minorEastAsia" w:hAnsiTheme="minorEastAsia" w:eastAsiaTheme="minorEastAsia"/>
          <w:sz w:val="21"/>
          <w:szCs w:val="21"/>
          <w:u w:val="single"/>
        </w:rPr>
        <w:t xml:space="preserve"> </w:t>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ab/>
      </w:r>
      <w:r>
        <w:rPr>
          <w:rFonts w:hint="eastAsia" w:cs="Arial" w:asciiTheme="minorEastAsia" w:hAnsiTheme="minorEastAsia" w:eastAsiaTheme="minorEastAsia"/>
          <w:sz w:val="21"/>
          <w:szCs w:val="21"/>
        </w:rPr>
        <w:t xml:space="preserve">  账  号：</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br w:type="page"/>
      </w:r>
    </w:p>
    <w:p>
      <w:pPr>
        <w:pStyle w:val="29"/>
        <w:snapToGrid w:val="0"/>
        <w:spacing w:before="0" w:after="0"/>
        <w:ind w:left="0"/>
      </w:pPr>
      <w:r>
        <w:rPr>
          <w:rFonts w:hint="eastAsia"/>
        </w:rPr>
        <w:t xml:space="preserve">   </w:t>
      </w:r>
      <w:bookmarkStart w:id="84" w:name="_Toc466015317"/>
      <w:r>
        <w:rPr>
          <w:rFonts w:hint="eastAsia" w:ascii="宋体" w:hAnsi="宋体"/>
        </w:rPr>
        <w:t>投标文件格式</w:t>
      </w:r>
      <w:bookmarkEnd w:id="80"/>
      <w:bookmarkEnd w:id="81"/>
      <w:bookmarkEnd w:id="82"/>
      <w:bookmarkEnd w:id="83"/>
      <w:bookmarkEnd w:id="84"/>
    </w:p>
    <w:p>
      <w:pPr>
        <w:pStyle w:val="30"/>
        <w:numPr>
          <w:ilvl w:val="0"/>
          <w:numId w:val="0"/>
        </w:numPr>
        <w:tabs>
          <w:tab w:val="left" w:pos="660"/>
        </w:tabs>
        <w:snapToGrid w:val="0"/>
        <w:spacing w:before="0" w:line="400" w:lineRule="exact"/>
        <w:rPr>
          <w:rFonts w:cs="微软雅黑"/>
          <w:color w:val="auto"/>
          <w:szCs w:val="21"/>
        </w:rPr>
      </w:pPr>
      <w:bookmarkStart w:id="85" w:name="_Toc186274126"/>
      <w:bookmarkStart w:id="86" w:name="_Toc174185203"/>
      <w:bookmarkStart w:id="87" w:name="_Toc184023138"/>
      <w:bookmarkStart w:id="88" w:name="_Toc86202634"/>
      <w:r>
        <w:rPr>
          <w:rFonts w:hint="eastAsia" w:cs="微软雅黑"/>
          <w:color w:val="auto"/>
          <w:szCs w:val="21"/>
        </w:rPr>
        <w:t>资格证明文件</w:t>
      </w:r>
    </w:p>
    <w:p>
      <w:pPr>
        <w:pStyle w:val="30"/>
        <w:numPr>
          <w:ilvl w:val="1"/>
          <w:numId w:val="23"/>
        </w:numPr>
        <w:tabs>
          <w:tab w:val="left" w:pos="660"/>
        </w:tabs>
        <w:snapToGrid w:val="0"/>
        <w:spacing w:before="0" w:line="400" w:lineRule="exact"/>
        <w:rPr>
          <w:rFonts w:cs="微软雅黑"/>
          <w:color w:val="auto"/>
          <w:szCs w:val="21"/>
        </w:rPr>
      </w:pPr>
      <w:r>
        <w:rPr>
          <w:rFonts w:hint="eastAsia" w:cs="微软雅黑"/>
          <w:color w:val="auto"/>
          <w:szCs w:val="21"/>
        </w:rPr>
        <w:t>投标人授权委托书或投标人</w:t>
      </w:r>
      <w:r>
        <w:rPr>
          <w:rFonts w:hint="eastAsia"/>
        </w:rPr>
        <w:t>法定代表人声明</w:t>
      </w:r>
      <w:r>
        <w:rPr>
          <w:rFonts w:hint="eastAsia" w:cs="微软雅黑"/>
          <w:color w:val="auto"/>
          <w:szCs w:val="21"/>
        </w:rPr>
        <w:t>（根据投标人参与项目实际情况提供下列文件之一即可；提示：法定代表人栏目须手写签字或加盖名章后制作为PDF并加盖电子签章）</w:t>
      </w:r>
    </w:p>
    <w:p>
      <w:pPr>
        <w:pStyle w:val="30"/>
        <w:numPr>
          <w:ilvl w:val="0"/>
          <w:numId w:val="0"/>
        </w:numPr>
        <w:tabs>
          <w:tab w:val="left" w:pos="420"/>
          <w:tab w:val="left" w:pos="660"/>
        </w:tabs>
        <w:snapToGrid w:val="0"/>
        <w:spacing w:before="0" w:line="400" w:lineRule="exact"/>
        <w:ind w:left="420"/>
        <w:rPr>
          <w:rFonts w:cs="微软雅黑"/>
          <w:color w:val="auto"/>
          <w:szCs w:val="21"/>
        </w:rPr>
      </w:pPr>
    </w:p>
    <w:p>
      <w:pPr>
        <w:pStyle w:val="30"/>
        <w:numPr>
          <w:ilvl w:val="0"/>
          <w:numId w:val="0"/>
        </w:numPr>
        <w:tabs>
          <w:tab w:val="left" w:pos="420"/>
          <w:tab w:val="left" w:pos="660"/>
        </w:tabs>
        <w:snapToGrid w:val="0"/>
        <w:spacing w:before="206" w:line="400" w:lineRule="exact"/>
      </w:pPr>
      <w:r>
        <w:rPr>
          <w:rFonts w:hint="eastAsia"/>
        </w:rPr>
        <w:t>非法定代表人提交投标文件时须提供投标人授权委托书：</w:t>
      </w:r>
    </w:p>
    <w:p>
      <w:pPr>
        <w:pStyle w:val="30"/>
        <w:numPr>
          <w:ilvl w:val="0"/>
          <w:numId w:val="0"/>
        </w:numPr>
        <w:tabs>
          <w:tab w:val="left" w:pos="420"/>
          <w:tab w:val="left" w:pos="660"/>
        </w:tabs>
        <w:snapToGrid w:val="0"/>
        <w:spacing w:before="0" w:line="400" w:lineRule="exact"/>
        <w:jc w:val="center"/>
        <w:rPr>
          <w:rFonts w:cs="微软雅黑"/>
          <w:color w:val="auto"/>
          <w:szCs w:val="21"/>
        </w:rPr>
      </w:pPr>
      <w:r>
        <w:rPr>
          <w:rFonts w:hint="eastAsia" w:cs="微软雅黑"/>
          <w:color w:val="auto"/>
          <w:szCs w:val="21"/>
        </w:rPr>
        <w:t>投标人授权委托书</w:t>
      </w:r>
    </w:p>
    <w:p>
      <w:pPr>
        <w:pStyle w:val="12"/>
        <w:spacing w:before="268" w:beforeLines="86" w:line="300" w:lineRule="auto"/>
        <w:ind w:firstLine="420" w:firstLineChars="200"/>
        <w:rPr>
          <w:rFonts w:hAnsi="宋体"/>
        </w:rPr>
      </w:pPr>
      <w:r>
        <w:rPr>
          <w:rFonts w:hAnsi="宋体"/>
        </w:rPr>
        <w:t>注册于（国家或地区的名称</w:t>
      </w:r>
      <w:r>
        <w:rPr>
          <w:rFonts w:hint="eastAsia" w:hAnsi="宋体"/>
        </w:rPr>
        <w:t>：</w:t>
      </w:r>
      <w:r>
        <w:rPr>
          <w:rFonts w:hint="eastAsia" w:hAnsi="宋体"/>
          <w:color w:val="000000"/>
        </w:rPr>
        <w:t>___________</w:t>
      </w:r>
      <w:r>
        <w:rPr>
          <w:rFonts w:hAnsi="宋体"/>
        </w:rPr>
        <w:t>）的（</w:t>
      </w:r>
      <w:r>
        <w:rPr>
          <w:rFonts w:hint="eastAsia" w:hAnsi="宋体"/>
        </w:rPr>
        <w:t>单位</w:t>
      </w:r>
      <w:r>
        <w:rPr>
          <w:rFonts w:hAnsi="宋体"/>
        </w:rPr>
        <w:t>名称</w:t>
      </w:r>
      <w:r>
        <w:rPr>
          <w:rFonts w:hint="eastAsia" w:hAnsi="宋体"/>
        </w:rPr>
        <w:t>：</w:t>
      </w:r>
      <w:r>
        <w:rPr>
          <w:rFonts w:hint="eastAsia" w:hAnsi="宋体"/>
          <w:color w:val="000000"/>
        </w:rPr>
        <w:t>___________</w:t>
      </w:r>
      <w:r>
        <w:rPr>
          <w:rFonts w:hAnsi="宋体"/>
        </w:rPr>
        <w:t>）授权（</w:t>
      </w:r>
      <w:r>
        <w:rPr>
          <w:rFonts w:hint="eastAsia" w:hAnsi="宋体"/>
        </w:rPr>
        <w:t>单位</w:t>
      </w:r>
      <w:r>
        <w:rPr>
          <w:rFonts w:hAnsi="宋体"/>
        </w:rPr>
        <w:t>名称</w:t>
      </w:r>
      <w:r>
        <w:rPr>
          <w:rFonts w:hint="eastAsia" w:hAnsi="宋体"/>
        </w:rPr>
        <w:t>：</w:t>
      </w:r>
      <w:r>
        <w:rPr>
          <w:rFonts w:hint="eastAsia" w:hAnsi="宋体"/>
          <w:color w:val="000000"/>
        </w:rPr>
        <w:t>___________</w:t>
      </w:r>
      <w:r>
        <w:rPr>
          <w:rFonts w:hAnsi="宋体"/>
        </w:rPr>
        <w:t>）的（被授权人的姓名</w:t>
      </w:r>
      <w:r>
        <w:rPr>
          <w:rFonts w:hint="eastAsia" w:hAnsi="宋体"/>
        </w:rPr>
        <w:t>：</w:t>
      </w:r>
      <w:r>
        <w:rPr>
          <w:rFonts w:hint="eastAsia" w:hAnsi="宋体"/>
          <w:color w:val="000000"/>
        </w:rPr>
        <w:t>___________</w:t>
      </w:r>
      <w:r>
        <w:rPr>
          <w:rFonts w:hAnsi="宋体"/>
        </w:rPr>
        <w:t>）</w:t>
      </w:r>
      <w:r>
        <w:rPr>
          <w:rFonts w:hint="eastAsia" w:hAnsi="宋体"/>
        </w:rPr>
        <w:t>（身份证号：</w:t>
      </w:r>
      <w:r>
        <w:rPr>
          <w:rFonts w:hint="eastAsia" w:hAnsi="宋体"/>
          <w:color w:val="000000"/>
        </w:rPr>
        <w:t>___________</w:t>
      </w:r>
      <w:r>
        <w:rPr>
          <w:rFonts w:hint="eastAsia" w:hAnsi="宋体"/>
        </w:rPr>
        <w:t>）</w:t>
      </w:r>
      <w:r>
        <w:rPr>
          <w:rFonts w:hAnsi="宋体"/>
        </w:rPr>
        <w:t>为本</w:t>
      </w:r>
      <w:r>
        <w:rPr>
          <w:rFonts w:hint="eastAsia" w:hAnsi="宋体"/>
        </w:rPr>
        <w:t>单位</w:t>
      </w:r>
      <w:r>
        <w:rPr>
          <w:rFonts w:hAnsi="宋体"/>
        </w:rPr>
        <w:t>的合法代理人，就（项目名称</w:t>
      </w:r>
      <w:r>
        <w:rPr>
          <w:rFonts w:hint="eastAsia" w:hAnsi="宋体"/>
        </w:rPr>
        <w:t>：</w:t>
      </w:r>
      <w:r>
        <w:rPr>
          <w:rFonts w:hint="eastAsia" w:hAnsi="宋体"/>
          <w:color w:val="000000"/>
        </w:rPr>
        <w:t>___________</w:t>
      </w:r>
      <w:r>
        <w:rPr>
          <w:rFonts w:hAnsi="宋体"/>
        </w:rPr>
        <w:t>）</w:t>
      </w:r>
      <w:r>
        <w:rPr>
          <w:rFonts w:hint="eastAsia" w:hAnsi="宋体"/>
          <w:color w:val="000000"/>
        </w:rPr>
        <w:t>（采购编号：___________）</w:t>
      </w:r>
      <w:r>
        <w:rPr>
          <w:rFonts w:hAnsi="宋体"/>
        </w:rPr>
        <w:t>的采购，以本</w:t>
      </w:r>
      <w:r>
        <w:rPr>
          <w:rFonts w:hint="eastAsia" w:hAnsi="宋体"/>
        </w:rPr>
        <w:t>单位</w:t>
      </w:r>
      <w:r>
        <w:rPr>
          <w:rFonts w:hAnsi="宋体"/>
        </w:rPr>
        <w:t>名义处理一切与之有关的事务。</w:t>
      </w:r>
    </w:p>
    <w:p>
      <w:pPr>
        <w:pStyle w:val="12"/>
        <w:spacing w:line="300" w:lineRule="auto"/>
        <w:rPr>
          <w:rFonts w:hAnsi="宋体"/>
        </w:rPr>
      </w:pPr>
      <w:r>
        <w:rPr>
          <w:rFonts w:hAnsi="宋体"/>
        </w:rPr>
        <w:t>　　本授权书于______年_____月______日</w:t>
      </w:r>
      <w:r>
        <w:rPr>
          <w:rFonts w:hint="eastAsia" w:hAnsi="宋体"/>
        </w:rPr>
        <w:t>盖章</w:t>
      </w:r>
      <w:r>
        <w:rPr>
          <w:rFonts w:hAnsi="宋体"/>
        </w:rPr>
        <w:t>生效</w:t>
      </w:r>
      <w:r>
        <w:rPr>
          <w:rFonts w:hint="eastAsia" w:hAnsi="宋体"/>
        </w:rPr>
        <w:t>，至项目执行完毕为止，</w:t>
      </w:r>
      <w:r>
        <w:rPr>
          <w:rFonts w:hAnsi="宋体"/>
        </w:rPr>
        <w:t>特此声明。</w:t>
      </w:r>
    </w:p>
    <w:p>
      <w:pPr>
        <w:pStyle w:val="12"/>
        <w:spacing w:before="187" w:beforeLines="60" w:line="300" w:lineRule="auto"/>
        <w:rPr>
          <w:rFonts w:hAnsi="宋体"/>
        </w:rPr>
      </w:pPr>
    </w:p>
    <w:p>
      <w:pPr>
        <w:pStyle w:val="12"/>
        <w:tabs>
          <w:tab w:val="left" w:pos="5580"/>
        </w:tabs>
        <w:spacing w:line="300" w:lineRule="auto"/>
        <w:rPr>
          <w:rFonts w:hAnsi="宋体"/>
        </w:rPr>
      </w:pPr>
    </w:p>
    <w:p>
      <w:pPr>
        <w:pStyle w:val="12"/>
        <w:tabs>
          <w:tab w:val="left" w:pos="5580"/>
        </w:tabs>
        <w:spacing w:line="300" w:lineRule="auto"/>
        <w:rPr>
          <w:rFonts w:hAnsi="宋体"/>
        </w:rPr>
      </w:pPr>
      <w:r>
        <w:rPr>
          <w:rFonts w:hint="eastAsia" w:hAnsi="宋体"/>
        </w:rPr>
        <w:t>投标人公</w:t>
      </w:r>
      <w:r>
        <w:rPr>
          <w:rFonts w:hAnsi="宋体"/>
        </w:rPr>
        <w:t>章</w:t>
      </w:r>
      <w:r>
        <w:rPr>
          <w:rFonts w:hint="eastAsia" w:hAnsi="宋体"/>
        </w:rPr>
        <w:t>（电子签章）：</w:t>
      </w:r>
      <w:r>
        <w:rPr>
          <w:rFonts w:hAnsi="宋体"/>
        </w:rPr>
        <w:t>_________________________________</w:t>
      </w:r>
    </w:p>
    <w:p>
      <w:pPr>
        <w:pStyle w:val="12"/>
        <w:kinsoku w:val="0"/>
        <w:overflowPunct w:val="0"/>
        <w:autoSpaceDE w:val="0"/>
        <w:autoSpaceDN w:val="0"/>
        <w:spacing w:line="320" w:lineRule="exact"/>
        <w:rPr>
          <w:rFonts w:hAnsi="宋体"/>
          <w:b/>
          <w:kern w:val="0"/>
        </w:rPr>
      </w:pPr>
    </w:p>
    <w:p>
      <w:pPr>
        <w:pStyle w:val="12"/>
        <w:kinsoku w:val="0"/>
        <w:overflowPunct w:val="0"/>
        <w:autoSpaceDE w:val="0"/>
        <w:autoSpaceDN w:val="0"/>
        <w:spacing w:line="320" w:lineRule="exact"/>
        <w:rPr>
          <w:rFonts w:hAnsi="宋体"/>
          <w:b/>
          <w:kern w:val="0"/>
        </w:rPr>
      </w:pPr>
    </w:p>
    <w:p>
      <w:pPr>
        <w:pStyle w:val="12"/>
        <w:kinsoku w:val="0"/>
        <w:overflowPunct w:val="0"/>
        <w:autoSpaceDE w:val="0"/>
        <w:autoSpaceDN w:val="0"/>
        <w:spacing w:line="320" w:lineRule="exact"/>
        <w:rPr>
          <w:rFonts w:hAnsi="宋体"/>
          <w:b/>
          <w:kern w:val="0"/>
        </w:rPr>
      </w:pPr>
      <w:r>
        <w:rPr>
          <w:rFonts w:hint="eastAsia" w:hAnsi="宋体"/>
          <w:b/>
          <w:kern w:val="0"/>
        </w:rPr>
        <w:t>法定代表人提交投标文件时须提供投标人法定代表人声明：</w:t>
      </w:r>
    </w:p>
    <w:p>
      <w:pPr>
        <w:pStyle w:val="12"/>
        <w:kinsoku w:val="0"/>
        <w:overflowPunct w:val="0"/>
        <w:autoSpaceDE w:val="0"/>
        <w:autoSpaceDN w:val="0"/>
        <w:spacing w:line="320" w:lineRule="exact"/>
        <w:rPr>
          <w:rFonts w:hAnsi="宋体"/>
          <w:b/>
          <w:kern w:val="0"/>
        </w:rPr>
      </w:pPr>
    </w:p>
    <w:p>
      <w:pPr>
        <w:pStyle w:val="12"/>
        <w:spacing w:before="268" w:beforeLines="86" w:line="300" w:lineRule="auto"/>
        <w:ind w:firstLine="422" w:firstLineChars="200"/>
        <w:jc w:val="center"/>
        <w:rPr>
          <w:rFonts w:hAnsi="宋体"/>
          <w:b/>
        </w:rPr>
      </w:pPr>
      <w:r>
        <w:rPr>
          <w:rFonts w:hint="eastAsia" w:hAnsi="宋体"/>
          <w:b/>
        </w:rPr>
        <w:t>投标人法定代表人声明</w:t>
      </w:r>
    </w:p>
    <w:p>
      <w:pPr>
        <w:pStyle w:val="12"/>
        <w:spacing w:before="268" w:beforeLines="86" w:line="300" w:lineRule="auto"/>
        <w:ind w:firstLine="420" w:firstLineChars="200"/>
        <w:rPr>
          <w:rFonts w:hAnsi="宋体"/>
        </w:rPr>
      </w:pPr>
      <w:r>
        <w:rPr>
          <w:rFonts w:hint="eastAsia" w:hAnsi="宋体"/>
        </w:rPr>
        <w:t>本人（姓名：</w:t>
      </w:r>
      <w:r>
        <w:rPr>
          <w:rFonts w:hint="eastAsia" w:hAnsi="宋体"/>
          <w:color w:val="000000"/>
        </w:rPr>
        <w:t>___________</w:t>
      </w:r>
      <w:r>
        <w:rPr>
          <w:rFonts w:hint="eastAsia" w:hAnsi="宋体"/>
        </w:rPr>
        <w:t>）（身份证号：</w:t>
      </w:r>
      <w:r>
        <w:rPr>
          <w:rFonts w:hint="eastAsia" w:hAnsi="宋体"/>
          <w:color w:val="000000"/>
        </w:rPr>
        <w:t>___________</w:t>
      </w:r>
      <w:r>
        <w:rPr>
          <w:rFonts w:hint="eastAsia" w:hAnsi="宋体"/>
        </w:rPr>
        <w:t>）（手机号：</w:t>
      </w:r>
      <w:r>
        <w:rPr>
          <w:rFonts w:hint="eastAsia" w:hAnsi="宋体"/>
          <w:color w:val="000000"/>
        </w:rPr>
        <w:t>___________</w:t>
      </w:r>
      <w:r>
        <w:rPr>
          <w:rFonts w:hint="eastAsia" w:hAnsi="宋体"/>
        </w:rPr>
        <w:t>）系</w:t>
      </w:r>
      <w:r>
        <w:rPr>
          <w:rFonts w:hAnsi="宋体"/>
        </w:rPr>
        <w:t>（</w:t>
      </w:r>
      <w:r>
        <w:rPr>
          <w:rFonts w:hint="eastAsia" w:hAnsi="宋体"/>
        </w:rPr>
        <w:t>单位</w:t>
      </w:r>
      <w:r>
        <w:rPr>
          <w:rFonts w:hAnsi="宋体"/>
        </w:rPr>
        <w:t>名称</w:t>
      </w:r>
      <w:r>
        <w:rPr>
          <w:rFonts w:hint="eastAsia" w:hAnsi="宋体"/>
        </w:rPr>
        <w:t>：</w:t>
      </w:r>
      <w:r>
        <w:rPr>
          <w:rFonts w:hint="eastAsia" w:hAnsi="宋体"/>
          <w:color w:val="000000"/>
        </w:rPr>
        <w:t>___________</w:t>
      </w:r>
      <w:r>
        <w:rPr>
          <w:rFonts w:hAnsi="宋体"/>
        </w:rPr>
        <w:t>）</w:t>
      </w:r>
      <w:r>
        <w:rPr>
          <w:rFonts w:hint="eastAsia" w:hAnsi="宋体"/>
        </w:rPr>
        <w:t>的法定代表人，现</w:t>
      </w:r>
      <w:r>
        <w:rPr>
          <w:rFonts w:hAnsi="宋体"/>
        </w:rPr>
        <w:t>就（项目名称</w:t>
      </w:r>
      <w:r>
        <w:rPr>
          <w:rFonts w:hint="eastAsia" w:hAnsi="宋体"/>
        </w:rPr>
        <w:t>：</w:t>
      </w:r>
      <w:r>
        <w:rPr>
          <w:rFonts w:hint="eastAsia" w:hAnsi="宋体"/>
          <w:color w:val="000000"/>
        </w:rPr>
        <w:t>___________）（采购编号：___________）</w:t>
      </w:r>
      <w:r>
        <w:rPr>
          <w:rFonts w:hAnsi="宋体"/>
        </w:rPr>
        <w:t>的采购，</w:t>
      </w:r>
      <w:r>
        <w:rPr>
          <w:rFonts w:hint="eastAsia" w:hAnsi="宋体"/>
        </w:rPr>
        <w:t>代表本单位</w:t>
      </w:r>
      <w:r>
        <w:rPr>
          <w:rFonts w:hAnsi="宋体"/>
        </w:rPr>
        <w:t>处理一切与之有关的事务。</w:t>
      </w:r>
    </w:p>
    <w:p>
      <w:pPr>
        <w:pStyle w:val="12"/>
        <w:spacing w:before="268" w:beforeLines="86" w:line="300" w:lineRule="auto"/>
        <w:ind w:firstLine="420" w:firstLineChars="200"/>
        <w:rPr>
          <w:rFonts w:hAnsi="宋体"/>
        </w:rPr>
      </w:pPr>
      <w:r>
        <w:rPr>
          <w:rFonts w:hint="eastAsia" w:hAnsi="宋体"/>
        </w:rPr>
        <w:t>特此声明。</w:t>
      </w:r>
    </w:p>
    <w:p>
      <w:pPr>
        <w:pStyle w:val="12"/>
        <w:spacing w:before="268" w:beforeLines="86" w:line="300" w:lineRule="auto"/>
        <w:ind w:firstLine="420" w:firstLineChars="200"/>
        <w:rPr>
          <w:rFonts w:hAnsi="宋体"/>
        </w:rPr>
      </w:pPr>
    </w:p>
    <w:p>
      <w:pPr>
        <w:pStyle w:val="12"/>
        <w:spacing w:before="187" w:beforeLines="60" w:line="300" w:lineRule="auto"/>
        <w:rPr>
          <w:rFonts w:hAnsi="宋体"/>
        </w:rPr>
      </w:pPr>
      <w:r>
        <w:rPr>
          <w:rFonts w:hAnsi="宋体"/>
        </w:rPr>
        <w:t>法定代表人签字</w:t>
      </w:r>
      <w:r>
        <w:rPr>
          <w:rFonts w:hint="eastAsia" w:hAnsi="宋体"/>
        </w:rPr>
        <w:t>（或名章）：</w:t>
      </w:r>
      <w:r>
        <w:rPr>
          <w:rFonts w:hAnsi="宋体"/>
        </w:rPr>
        <w:t>_____________________________</w:t>
      </w:r>
    </w:p>
    <w:p>
      <w:pPr>
        <w:pStyle w:val="12"/>
        <w:tabs>
          <w:tab w:val="left" w:pos="5580"/>
        </w:tabs>
        <w:spacing w:line="300" w:lineRule="auto"/>
        <w:rPr>
          <w:rFonts w:hAnsi="宋体"/>
        </w:rPr>
      </w:pPr>
    </w:p>
    <w:p>
      <w:pPr>
        <w:pStyle w:val="12"/>
        <w:tabs>
          <w:tab w:val="left" w:pos="5580"/>
        </w:tabs>
        <w:spacing w:line="300" w:lineRule="auto"/>
        <w:rPr>
          <w:rFonts w:hAnsi="宋体"/>
        </w:rPr>
      </w:pPr>
      <w:r>
        <w:rPr>
          <w:rFonts w:hint="eastAsia" w:hAnsi="宋体"/>
        </w:rPr>
        <w:t>投标人公</w:t>
      </w:r>
      <w:r>
        <w:rPr>
          <w:rFonts w:hAnsi="宋体"/>
        </w:rPr>
        <w:t>章</w:t>
      </w:r>
      <w:r>
        <w:rPr>
          <w:rFonts w:hint="eastAsia" w:hAnsi="宋体"/>
        </w:rPr>
        <w:t>（电子签章）：</w:t>
      </w:r>
      <w:r>
        <w:rPr>
          <w:rFonts w:hAnsi="宋体"/>
        </w:rPr>
        <w:t>_________________________________</w:t>
      </w:r>
    </w:p>
    <w:p>
      <w:pPr>
        <w:pStyle w:val="30"/>
        <w:numPr>
          <w:ilvl w:val="1"/>
          <w:numId w:val="23"/>
        </w:numPr>
        <w:tabs>
          <w:tab w:val="left" w:pos="660"/>
        </w:tabs>
        <w:snapToGrid w:val="0"/>
        <w:spacing w:before="0" w:line="400" w:lineRule="exact"/>
        <w:rPr>
          <w:rFonts w:cs="微软雅黑"/>
          <w:color w:val="auto"/>
          <w:szCs w:val="21"/>
        </w:rPr>
      </w:pPr>
      <w:r>
        <w:rPr>
          <w:rFonts w:hint="eastAsia" w:cs="微软雅黑"/>
          <w:color w:val="auto"/>
          <w:szCs w:val="21"/>
        </w:rPr>
        <w:t>上级单位授权委托书（投标人为分支机构的须提供）</w:t>
      </w:r>
    </w:p>
    <w:p>
      <w:pPr>
        <w:widowControl/>
        <w:jc w:val="center"/>
        <w:rPr>
          <w:rFonts w:ascii="宋体" w:hAnsi="宋体" w:cs="宋体"/>
          <w:color w:val="000000"/>
          <w:sz w:val="21"/>
          <w:szCs w:val="21"/>
        </w:rPr>
      </w:pPr>
    </w:p>
    <w:p>
      <w:pPr>
        <w:widowControl/>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我单位（单位名称：</w:t>
      </w:r>
      <w:r>
        <w:rPr>
          <w:rFonts w:hint="eastAsia" w:hAnsi="宋体"/>
          <w:color w:val="000000"/>
        </w:rPr>
        <w:t>___________</w:t>
      </w:r>
      <w:r>
        <w:rPr>
          <w:rFonts w:hint="eastAsia" w:ascii="宋体" w:hAnsi="宋体" w:cs="宋体"/>
          <w:color w:val="000000"/>
          <w:sz w:val="21"/>
          <w:szCs w:val="21"/>
        </w:rPr>
        <w:t>）同意我单位设立的分支机构（单位名称：</w:t>
      </w:r>
      <w:r>
        <w:rPr>
          <w:rFonts w:hint="eastAsia" w:hAnsi="宋体"/>
          <w:color w:val="000000"/>
        </w:rPr>
        <w:t>___________</w:t>
      </w:r>
      <w:r>
        <w:rPr>
          <w:rFonts w:hint="eastAsia" w:ascii="宋体" w:hAnsi="宋体" w:cs="宋体"/>
          <w:color w:val="000000"/>
          <w:sz w:val="21"/>
          <w:szCs w:val="21"/>
        </w:rPr>
        <w:t>）参加（项目名称：</w:t>
      </w:r>
      <w:r>
        <w:rPr>
          <w:rFonts w:hint="eastAsia" w:hAnsi="宋体"/>
          <w:color w:val="000000"/>
        </w:rPr>
        <w:t>___________</w:t>
      </w:r>
      <w:r>
        <w:rPr>
          <w:rFonts w:hint="eastAsia" w:ascii="宋体" w:hAnsi="宋体" w:cs="宋体"/>
          <w:color w:val="000000"/>
          <w:sz w:val="21"/>
          <w:szCs w:val="21"/>
        </w:rPr>
        <w:t>）（采购编号：</w:t>
      </w:r>
      <w:r>
        <w:rPr>
          <w:rFonts w:hint="eastAsia" w:hAnsi="宋体"/>
          <w:color w:val="000000"/>
        </w:rPr>
        <w:t>___________</w:t>
      </w:r>
      <w:r>
        <w:rPr>
          <w:rFonts w:hint="eastAsia" w:ascii="宋体" w:hAnsi="宋体" w:cs="宋体"/>
          <w:color w:val="000000"/>
          <w:sz w:val="21"/>
          <w:szCs w:val="21"/>
        </w:rPr>
        <w:t>）的政府采购活动。在本次投标和签订、履行政府采购合同中出现的所有法律责任，均由我单位和该投标人共同承担。</w:t>
      </w:r>
    </w:p>
    <w:p>
      <w:pPr>
        <w:widowControl/>
        <w:ind w:firstLine="420" w:firstLineChars="200"/>
        <w:rPr>
          <w:rFonts w:ascii="宋体" w:hAnsi="宋体" w:cs="宋体"/>
          <w:color w:val="000000"/>
          <w:sz w:val="21"/>
          <w:szCs w:val="21"/>
        </w:rPr>
      </w:pPr>
    </w:p>
    <w:p>
      <w:pPr>
        <w:widowControl/>
        <w:ind w:firstLine="420" w:firstLineChars="200"/>
        <w:rPr>
          <w:rFonts w:ascii="宋体" w:hAnsi="宋体" w:cs="宋体"/>
          <w:color w:val="000000"/>
          <w:sz w:val="21"/>
          <w:szCs w:val="21"/>
        </w:rPr>
      </w:pPr>
      <w:r>
        <w:rPr>
          <w:rFonts w:hint="eastAsia" w:ascii="宋体" w:hAnsi="宋体" w:cs="宋体"/>
          <w:color w:val="000000"/>
          <w:sz w:val="21"/>
          <w:szCs w:val="21"/>
        </w:rPr>
        <w:t> </w:t>
      </w:r>
    </w:p>
    <w:p>
      <w:pPr>
        <w:widowControl/>
        <w:spacing w:line="360" w:lineRule="auto"/>
        <w:ind w:firstLine="3780" w:firstLineChars="1800"/>
        <w:rPr>
          <w:rFonts w:ascii="宋体" w:hAnsi="宋体" w:cs="宋体"/>
          <w:color w:val="000000"/>
          <w:sz w:val="21"/>
          <w:szCs w:val="21"/>
        </w:rPr>
      </w:pPr>
      <w:r>
        <w:rPr>
          <w:rFonts w:hint="eastAsia" w:ascii="宋体" w:hAnsi="宋体" w:cs="宋体"/>
          <w:color w:val="000000"/>
          <w:sz w:val="21"/>
          <w:szCs w:val="21"/>
        </w:rPr>
        <w:t>上级单位公章（盖章）：</w:t>
      </w:r>
      <w:r>
        <w:rPr>
          <w:rFonts w:hAnsi="宋体"/>
        </w:rPr>
        <w:t>__________________</w:t>
      </w:r>
      <w:r>
        <w:rPr>
          <w:rFonts w:hint="eastAsia" w:ascii="宋体" w:hAnsi="宋体" w:cs="宋体"/>
          <w:color w:val="000000"/>
          <w:sz w:val="21"/>
          <w:szCs w:val="21"/>
        </w:rPr>
        <w:t xml:space="preserve">               </w:t>
      </w:r>
    </w:p>
    <w:p>
      <w:pPr>
        <w:spacing w:line="300" w:lineRule="auto"/>
        <w:rPr>
          <w:rFonts w:ascii="宋体" w:hAnsi="宋体"/>
          <w:sz w:val="21"/>
          <w:szCs w:val="21"/>
        </w:rPr>
      </w:pPr>
    </w:p>
    <w:p>
      <w:pPr>
        <w:spacing w:line="300" w:lineRule="auto"/>
        <w:ind w:firstLine="5460" w:firstLineChars="2600"/>
        <w:rPr>
          <w:rFonts w:ascii="宋体" w:hAnsi="宋体"/>
          <w:sz w:val="21"/>
          <w:szCs w:val="21"/>
        </w:rPr>
      </w:pPr>
      <w:r>
        <w:rPr>
          <w:rFonts w:hint="eastAsia" w:ascii="宋体" w:hAnsi="宋体"/>
          <w:sz w:val="21"/>
          <w:szCs w:val="21"/>
        </w:rPr>
        <w:t>日 期：</w:t>
      </w:r>
      <w:r>
        <w:rPr>
          <w:rFonts w:hAnsi="宋体"/>
        </w:rPr>
        <w:t>__________________</w:t>
      </w:r>
    </w:p>
    <w:p>
      <w:pPr>
        <w:pStyle w:val="30"/>
        <w:numPr>
          <w:ilvl w:val="1"/>
          <w:numId w:val="23"/>
        </w:numPr>
        <w:tabs>
          <w:tab w:val="left" w:pos="660"/>
        </w:tabs>
        <w:snapToGrid w:val="0"/>
        <w:spacing w:before="0" w:line="400" w:lineRule="exact"/>
        <w:rPr>
          <w:szCs w:val="21"/>
        </w:rPr>
      </w:pPr>
      <w:r>
        <w:rPr>
          <w:rFonts w:cs="微软雅黑"/>
          <w:color w:val="auto"/>
          <w:szCs w:val="21"/>
        </w:rPr>
        <w:br w:type="page"/>
      </w:r>
      <w:bookmarkEnd w:id="85"/>
      <w:bookmarkEnd w:id="86"/>
      <w:bookmarkEnd w:id="87"/>
      <w:r>
        <w:rPr>
          <w:rFonts w:hint="eastAsia"/>
          <w:szCs w:val="21"/>
        </w:rPr>
        <w:t>资格条件承诺书</w:t>
      </w:r>
    </w:p>
    <w:p>
      <w:pPr>
        <w:spacing w:line="360" w:lineRule="auto"/>
        <w:ind w:firstLine="420" w:firstLineChars="200"/>
        <w:rPr>
          <w:rFonts w:ascii="宋体" w:hAnsi="宋体"/>
          <w:sz w:val="21"/>
          <w:szCs w:val="21"/>
        </w:rPr>
      </w:pPr>
    </w:p>
    <w:p>
      <w:pPr>
        <w:spacing w:line="360" w:lineRule="auto"/>
        <w:ind w:firstLine="420" w:firstLineChars="200"/>
        <w:rPr>
          <w:rFonts w:ascii="宋体" w:hAnsi="宋体"/>
          <w:sz w:val="21"/>
          <w:szCs w:val="21"/>
        </w:rPr>
      </w:pPr>
      <w:r>
        <w:rPr>
          <w:rFonts w:hint="eastAsia" w:ascii="宋体" w:hAnsi="宋体"/>
          <w:sz w:val="21"/>
          <w:szCs w:val="21"/>
        </w:rPr>
        <w:t>我方承诺具备《中华人民共和国政府采购法》第二十一条、第二十二条及《中华人民共和国政府采购法实施条例》第十七条和本招标文件中规定的条件：</w:t>
      </w:r>
    </w:p>
    <w:p>
      <w:pPr>
        <w:pStyle w:val="39"/>
        <w:numPr>
          <w:ilvl w:val="0"/>
          <w:numId w:val="24"/>
        </w:numPr>
        <w:adjustRightInd/>
        <w:spacing w:line="360" w:lineRule="auto"/>
        <w:ind w:firstLineChars="0"/>
        <w:jc w:val="both"/>
        <w:textAlignment w:val="auto"/>
        <w:rPr>
          <w:rFonts w:ascii="宋体" w:hAnsi="宋体"/>
          <w:sz w:val="21"/>
          <w:szCs w:val="21"/>
        </w:rPr>
      </w:pPr>
      <w:r>
        <w:rPr>
          <w:rFonts w:hint="eastAsia" w:ascii="宋体" w:hAnsi="宋体"/>
          <w:sz w:val="21"/>
          <w:szCs w:val="21"/>
        </w:rPr>
        <w:t>具有独立承担民事责任的能力；</w:t>
      </w:r>
    </w:p>
    <w:p>
      <w:pPr>
        <w:pStyle w:val="39"/>
        <w:numPr>
          <w:ilvl w:val="0"/>
          <w:numId w:val="24"/>
        </w:numPr>
        <w:adjustRightInd/>
        <w:spacing w:line="360" w:lineRule="auto"/>
        <w:ind w:firstLineChars="0"/>
        <w:jc w:val="both"/>
        <w:textAlignment w:val="auto"/>
        <w:rPr>
          <w:rFonts w:ascii="宋体" w:hAnsi="宋体"/>
          <w:sz w:val="21"/>
          <w:szCs w:val="21"/>
        </w:rPr>
      </w:pPr>
      <w:r>
        <w:rPr>
          <w:rFonts w:hint="eastAsia" w:ascii="宋体" w:hAnsi="宋体"/>
          <w:sz w:val="21"/>
          <w:szCs w:val="21"/>
        </w:rPr>
        <w:t>具有良好的商业信誉和健全的财务会计制度；</w:t>
      </w:r>
    </w:p>
    <w:p>
      <w:pPr>
        <w:pStyle w:val="39"/>
        <w:numPr>
          <w:ilvl w:val="0"/>
          <w:numId w:val="24"/>
        </w:numPr>
        <w:adjustRightInd/>
        <w:spacing w:line="360" w:lineRule="auto"/>
        <w:ind w:firstLineChars="0"/>
        <w:jc w:val="both"/>
        <w:textAlignment w:val="auto"/>
        <w:rPr>
          <w:rFonts w:ascii="宋体" w:hAnsi="宋体"/>
          <w:sz w:val="21"/>
          <w:szCs w:val="21"/>
        </w:rPr>
      </w:pPr>
      <w:r>
        <w:rPr>
          <w:rFonts w:hint="eastAsia" w:ascii="宋体" w:hAnsi="宋体"/>
          <w:sz w:val="21"/>
          <w:szCs w:val="21"/>
        </w:rPr>
        <w:t>具有履行合同所必需的设备和专业技术能力；</w:t>
      </w:r>
    </w:p>
    <w:p>
      <w:pPr>
        <w:pStyle w:val="39"/>
        <w:numPr>
          <w:ilvl w:val="0"/>
          <w:numId w:val="24"/>
        </w:numPr>
        <w:adjustRightInd/>
        <w:spacing w:line="360" w:lineRule="auto"/>
        <w:ind w:firstLineChars="0"/>
        <w:jc w:val="both"/>
        <w:textAlignment w:val="auto"/>
        <w:rPr>
          <w:rFonts w:ascii="宋体" w:hAnsi="宋体"/>
          <w:sz w:val="21"/>
          <w:szCs w:val="21"/>
        </w:rPr>
      </w:pPr>
      <w:r>
        <w:rPr>
          <w:rFonts w:hint="eastAsia" w:ascii="宋体" w:hAnsi="宋体"/>
          <w:sz w:val="21"/>
          <w:szCs w:val="21"/>
        </w:rPr>
        <w:t>有依法缴纳税收和社会保障资金的良好记录；</w:t>
      </w:r>
    </w:p>
    <w:p>
      <w:pPr>
        <w:pStyle w:val="39"/>
        <w:numPr>
          <w:ilvl w:val="0"/>
          <w:numId w:val="24"/>
        </w:numPr>
        <w:adjustRightInd/>
        <w:spacing w:line="360" w:lineRule="auto"/>
        <w:ind w:firstLineChars="0"/>
        <w:jc w:val="both"/>
        <w:textAlignment w:val="auto"/>
        <w:rPr>
          <w:rFonts w:ascii="宋体" w:hAnsi="宋体"/>
          <w:sz w:val="21"/>
          <w:szCs w:val="21"/>
        </w:rPr>
      </w:pPr>
      <w:r>
        <w:rPr>
          <w:rFonts w:hint="eastAsia" w:ascii="宋体" w:hAnsi="宋体"/>
          <w:sz w:val="21"/>
          <w:szCs w:val="21"/>
        </w:rPr>
        <w:t>在参加本次采购活动前三年内，在经营活动中没有重大违法记录。</w:t>
      </w:r>
    </w:p>
    <w:p>
      <w:pPr>
        <w:spacing w:line="360" w:lineRule="auto"/>
        <w:ind w:firstLine="420" w:firstLineChars="200"/>
        <w:rPr>
          <w:rFonts w:ascii="宋体" w:hAnsi="宋体"/>
          <w:sz w:val="21"/>
          <w:szCs w:val="21"/>
        </w:rPr>
      </w:pPr>
      <w:r>
        <w:rPr>
          <w:rFonts w:hint="eastAsia" w:ascii="宋体" w:hAnsi="宋体"/>
          <w:sz w:val="21"/>
          <w:szCs w:val="21"/>
        </w:rPr>
        <w:t>我方承诺具备符合上述规定条件的对应证明材料，并接受采购人有权审核相关证明材料的权利，如上述承诺信息不属实或证明材料不符合相关法律法规的规定，责任由我方承担。</w:t>
      </w:r>
    </w:p>
    <w:p>
      <w:pPr>
        <w:pStyle w:val="30"/>
        <w:numPr>
          <w:ilvl w:val="0"/>
          <w:numId w:val="0"/>
        </w:numPr>
        <w:tabs>
          <w:tab w:val="left" w:pos="660"/>
        </w:tabs>
        <w:snapToGrid w:val="0"/>
        <w:spacing w:before="0" w:line="400" w:lineRule="exact"/>
        <w:rPr>
          <w:szCs w:val="21"/>
        </w:rPr>
      </w:pPr>
    </w:p>
    <w:p>
      <w:pPr>
        <w:spacing w:line="300" w:lineRule="auto"/>
        <w:rPr>
          <w:rFonts w:ascii="宋体" w:hAnsi="宋体"/>
          <w:sz w:val="21"/>
          <w:szCs w:val="21"/>
        </w:rPr>
      </w:pPr>
    </w:p>
    <w:p>
      <w:pPr>
        <w:pStyle w:val="12"/>
        <w:tabs>
          <w:tab w:val="left" w:pos="5580"/>
        </w:tabs>
        <w:spacing w:line="300" w:lineRule="auto"/>
        <w:ind w:firstLine="4620" w:firstLineChars="2200"/>
        <w:rPr>
          <w:rFonts w:hAnsi="宋体"/>
        </w:rPr>
      </w:pPr>
      <w:r>
        <w:rPr>
          <w:rFonts w:hint="eastAsia" w:hAnsi="宋体"/>
        </w:rPr>
        <w:t>投标人公</w:t>
      </w:r>
      <w:r>
        <w:rPr>
          <w:rFonts w:hAnsi="宋体"/>
        </w:rPr>
        <w:t>章</w:t>
      </w:r>
      <w:r>
        <w:rPr>
          <w:rFonts w:hint="eastAsia" w:hAnsi="宋体"/>
        </w:rPr>
        <w:t>（电子签章）：</w:t>
      </w:r>
      <w:r>
        <w:rPr>
          <w:rFonts w:hAnsi="宋体"/>
        </w:rPr>
        <w:t>__________________</w:t>
      </w:r>
    </w:p>
    <w:p>
      <w:pPr>
        <w:spacing w:line="300" w:lineRule="auto"/>
        <w:ind w:firstLine="4620" w:firstLineChars="2200"/>
        <w:rPr>
          <w:rFonts w:ascii="宋体" w:hAnsi="宋体"/>
          <w:sz w:val="21"/>
          <w:szCs w:val="21"/>
        </w:rPr>
      </w:pPr>
      <w:r>
        <w:rPr>
          <w:rFonts w:hint="eastAsia" w:ascii="宋体" w:hAnsi="宋体"/>
          <w:sz w:val="21"/>
          <w:szCs w:val="21"/>
        </w:rPr>
        <w:t>日 期：</w:t>
      </w:r>
      <w:r>
        <w:rPr>
          <w:rFonts w:ascii="宋体" w:hAnsi="宋体"/>
          <w:sz w:val="21"/>
          <w:szCs w:val="21"/>
        </w:rPr>
        <w:t>__________________</w:t>
      </w:r>
    </w:p>
    <w:p>
      <w:pPr>
        <w:spacing w:line="400" w:lineRule="exact"/>
        <w:rPr>
          <w:rFonts w:ascii="宋体" w:hAnsi="宋体" w:cs="微软雅黑"/>
        </w:rPr>
      </w:pPr>
    </w:p>
    <w:p>
      <w:pPr>
        <w:spacing w:line="400" w:lineRule="exact"/>
        <w:rPr>
          <w:rFonts w:ascii="宋体" w:hAnsi="宋体" w:cs="微软雅黑"/>
        </w:rPr>
      </w:pPr>
    </w:p>
    <w:p>
      <w:pPr>
        <w:pStyle w:val="30"/>
        <w:numPr>
          <w:ilvl w:val="0"/>
          <w:numId w:val="0"/>
        </w:numPr>
        <w:tabs>
          <w:tab w:val="left" w:pos="420"/>
          <w:tab w:val="left" w:pos="660"/>
        </w:tabs>
        <w:snapToGrid w:val="0"/>
        <w:spacing w:before="0" w:line="400" w:lineRule="exact"/>
        <w:rPr>
          <w:rFonts w:cs="微软雅黑"/>
          <w:color w:val="auto"/>
          <w:szCs w:val="21"/>
        </w:rPr>
      </w:pPr>
      <w:r>
        <w:rPr>
          <w:rFonts w:cs="微软雅黑"/>
        </w:rPr>
        <w:br w:type="page"/>
      </w:r>
      <w:r>
        <w:rPr>
          <w:rFonts w:hint="eastAsia" w:cs="微软雅黑"/>
          <w:color w:val="auto"/>
          <w:szCs w:val="21"/>
        </w:rPr>
        <w:t>技术文件</w:t>
      </w:r>
    </w:p>
    <w:p>
      <w:pPr>
        <w:pStyle w:val="30"/>
        <w:numPr>
          <w:ilvl w:val="1"/>
          <w:numId w:val="25"/>
        </w:numPr>
        <w:tabs>
          <w:tab w:val="left" w:pos="660"/>
        </w:tabs>
        <w:snapToGrid w:val="0"/>
        <w:spacing w:before="0" w:line="400" w:lineRule="exact"/>
        <w:rPr>
          <w:rFonts w:cs="微软雅黑"/>
          <w:color w:val="auto"/>
          <w:szCs w:val="21"/>
        </w:rPr>
      </w:pPr>
      <w:r>
        <w:rPr>
          <w:rFonts w:hint="eastAsia" w:cs="微软雅黑"/>
          <w:color w:val="auto"/>
          <w:szCs w:val="21"/>
        </w:rPr>
        <w:t>投标函</w:t>
      </w:r>
    </w:p>
    <w:p>
      <w:pPr>
        <w:pStyle w:val="30"/>
        <w:numPr>
          <w:ilvl w:val="0"/>
          <w:numId w:val="0"/>
        </w:numPr>
        <w:tabs>
          <w:tab w:val="left" w:pos="660"/>
        </w:tabs>
        <w:snapToGrid w:val="0"/>
        <w:spacing w:before="0" w:line="360" w:lineRule="auto"/>
        <w:rPr>
          <w:rFonts w:cs="微软雅黑"/>
          <w:color w:val="auto"/>
          <w:szCs w:val="21"/>
        </w:rPr>
      </w:pPr>
    </w:p>
    <w:p>
      <w:pPr>
        <w:tabs>
          <w:tab w:val="left" w:pos="630"/>
        </w:tabs>
        <w:snapToGrid w:val="0"/>
        <w:spacing w:line="360" w:lineRule="auto"/>
        <w:rPr>
          <w:rFonts w:ascii="宋体" w:hAnsi="宋体"/>
          <w:color w:val="000000"/>
          <w:sz w:val="21"/>
          <w:szCs w:val="21"/>
        </w:rPr>
      </w:pPr>
      <w:r>
        <w:rPr>
          <w:rFonts w:hint="eastAsia" w:ascii="宋体" w:hAnsi="宋体"/>
          <w:color w:val="000000"/>
          <w:sz w:val="21"/>
          <w:szCs w:val="21"/>
        </w:rPr>
        <w:t>北京市政府采购中心：</w:t>
      </w:r>
    </w:p>
    <w:p>
      <w:pPr>
        <w:tabs>
          <w:tab w:val="left" w:pos="630"/>
        </w:tabs>
        <w:snapToGrid w:val="0"/>
        <w:spacing w:line="360" w:lineRule="auto"/>
        <w:rPr>
          <w:rFonts w:ascii="宋体" w:hAnsi="宋体"/>
          <w:color w:val="000000"/>
          <w:sz w:val="21"/>
          <w:szCs w:val="21"/>
        </w:rPr>
      </w:pPr>
      <w:r>
        <w:rPr>
          <w:rFonts w:hint="eastAsia" w:ascii="宋体" w:hAnsi="宋体"/>
          <w:color w:val="000000"/>
          <w:sz w:val="21"/>
          <w:szCs w:val="21"/>
        </w:rPr>
        <w:t xml:space="preserve">    我方参加贵方组织的（项目名称：_________________）（采购编号：_________________）的有关采购活动。为此，我方同意和承诺：</w:t>
      </w:r>
    </w:p>
    <w:p>
      <w:pPr>
        <w:numPr>
          <w:ilvl w:val="0"/>
          <w:numId w:val="26"/>
        </w:numPr>
        <w:spacing w:line="360" w:lineRule="auto"/>
        <w:rPr>
          <w:rFonts w:ascii="宋体" w:hAnsi="宋体"/>
          <w:b/>
          <w:sz w:val="21"/>
          <w:szCs w:val="21"/>
        </w:rPr>
      </w:pPr>
      <w:r>
        <w:rPr>
          <w:rFonts w:hint="eastAsia" w:ascii="宋体" w:hAnsi="宋体"/>
          <w:b/>
          <w:sz w:val="21"/>
          <w:szCs w:val="21"/>
        </w:rPr>
        <w:t>我方承诺已详细阅读并理解招标文件及北京市政府采购电子交易平台相关操作手册及视频中关于本项目电子投标各项要求、流程及注意事项，如未按要求操作导致的投标无效，责任由我方承担。</w:t>
      </w:r>
    </w:p>
    <w:p>
      <w:pPr>
        <w:numPr>
          <w:ilvl w:val="0"/>
          <w:numId w:val="26"/>
        </w:numPr>
        <w:spacing w:line="360" w:lineRule="auto"/>
        <w:rPr>
          <w:rFonts w:ascii="宋体" w:hAnsi="宋体"/>
          <w:sz w:val="21"/>
          <w:szCs w:val="21"/>
        </w:rPr>
      </w:pPr>
      <w:r>
        <w:rPr>
          <w:rFonts w:hint="eastAsia" w:ascii="宋体" w:hAnsi="宋体"/>
          <w:sz w:val="21"/>
          <w:szCs w:val="21"/>
        </w:rPr>
        <w:t>我方已详细阅读全部招标文件、包括招标文件的相关更正补充（如有的话）、参考资料及有关附件，保证遵守招标文件的规定。</w:t>
      </w:r>
    </w:p>
    <w:p>
      <w:pPr>
        <w:numPr>
          <w:ilvl w:val="0"/>
          <w:numId w:val="26"/>
        </w:numPr>
        <w:spacing w:line="360" w:lineRule="auto"/>
        <w:rPr>
          <w:rFonts w:ascii="宋体" w:hAnsi="宋体"/>
          <w:sz w:val="21"/>
          <w:szCs w:val="21"/>
        </w:rPr>
      </w:pPr>
      <w:r>
        <w:rPr>
          <w:rFonts w:hint="eastAsia" w:ascii="宋体" w:hAnsi="宋体"/>
          <w:sz w:val="21"/>
          <w:szCs w:val="21"/>
        </w:rPr>
        <w:t>我方已经完全理解了招标文件中的各项内容和投标人的各项权利义务的真实含义，并承诺在发生争议时不会以对招标文件存在误解、不明白的条款为由，对贵中心行使任何法律上的抗辩权。</w:t>
      </w:r>
    </w:p>
    <w:p>
      <w:pPr>
        <w:numPr>
          <w:ilvl w:val="0"/>
          <w:numId w:val="26"/>
        </w:numPr>
        <w:spacing w:line="360" w:lineRule="auto"/>
        <w:rPr>
          <w:rFonts w:ascii="宋体" w:hAnsi="宋体"/>
          <w:sz w:val="21"/>
          <w:szCs w:val="21"/>
        </w:rPr>
      </w:pPr>
      <w:r>
        <w:rPr>
          <w:rFonts w:hint="eastAsia" w:ascii="宋体" w:hAnsi="宋体"/>
          <w:sz w:val="21"/>
          <w:szCs w:val="21"/>
        </w:rPr>
        <w:t>我方同意在本项目招标文件中规定的开标日起180天内遵守本投标文件中的承诺且在此期限期满之前均具有约束力。遵守“投标人须知”中第九条第二款关于延长投标有效期的规定。</w:t>
      </w:r>
    </w:p>
    <w:p>
      <w:pPr>
        <w:numPr>
          <w:ilvl w:val="0"/>
          <w:numId w:val="26"/>
        </w:numPr>
        <w:spacing w:line="360" w:lineRule="auto"/>
        <w:rPr>
          <w:rFonts w:ascii="宋体" w:hAnsi="宋体"/>
          <w:sz w:val="21"/>
          <w:szCs w:val="21"/>
        </w:rPr>
      </w:pPr>
      <w:r>
        <w:rPr>
          <w:rFonts w:hint="eastAsia" w:ascii="宋体" w:hAnsi="宋体"/>
          <w:sz w:val="21"/>
          <w:szCs w:val="21"/>
        </w:rPr>
        <w:t>我方承诺提供投标人须知规定的全部电子投标文件。</w:t>
      </w:r>
    </w:p>
    <w:p>
      <w:pPr>
        <w:numPr>
          <w:ilvl w:val="0"/>
          <w:numId w:val="26"/>
        </w:numPr>
        <w:spacing w:line="360" w:lineRule="auto"/>
        <w:rPr>
          <w:rFonts w:ascii="宋体" w:hAnsi="宋体"/>
          <w:sz w:val="21"/>
          <w:szCs w:val="21"/>
        </w:rPr>
      </w:pPr>
      <w:r>
        <w:rPr>
          <w:rFonts w:hint="eastAsia" w:ascii="宋体" w:hAnsi="宋体"/>
          <w:sz w:val="21"/>
          <w:szCs w:val="21"/>
        </w:rPr>
        <w:t>我方承诺完全满足和响应招标文件中的各项商务和技术要求，愿意如实提供任何与本项投标有关的数据、情况和技术资料。若有偏差，已在投标文件中显著处予以说明。</w:t>
      </w:r>
    </w:p>
    <w:p>
      <w:pPr>
        <w:numPr>
          <w:ilvl w:val="0"/>
          <w:numId w:val="26"/>
        </w:numPr>
        <w:spacing w:line="360" w:lineRule="auto"/>
        <w:rPr>
          <w:rFonts w:ascii="宋体" w:hAnsi="宋体"/>
          <w:sz w:val="21"/>
          <w:szCs w:val="21"/>
        </w:rPr>
      </w:pPr>
      <w:r>
        <w:rPr>
          <w:rFonts w:hint="eastAsia" w:ascii="宋体" w:hAnsi="宋体"/>
          <w:sz w:val="21"/>
          <w:szCs w:val="21"/>
        </w:rPr>
        <w:t>我方按招标文件要求提供和交付的货物及服务的投标报价详见投标文件，知晓最低价不作为中标保证的规定。</w:t>
      </w:r>
    </w:p>
    <w:p>
      <w:pPr>
        <w:numPr>
          <w:ilvl w:val="0"/>
          <w:numId w:val="26"/>
        </w:numPr>
        <w:spacing w:line="360" w:lineRule="auto"/>
        <w:rPr>
          <w:rFonts w:ascii="宋体" w:hAnsi="宋体"/>
          <w:sz w:val="21"/>
          <w:szCs w:val="21"/>
        </w:rPr>
      </w:pPr>
      <w:r>
        <w:rPr>
          <w:rFonts w:hint="eastAsia" w:ascii="宋体" w:hAnsi="宋体"/>
          <w:sz w:val="21"/>
          <w:szCs w:val="21"/>
        </w:rPr>
        <w:t>我方保证忠实地执行与采购人所签订的协议和合同，并承担协议和合同规定的责任和义务。</w:t>
      </w:r>
    </w:p>
    <w:p>
      <w:pPr>
        <w:numPr>
          <w:ilvl w:val="0"/>
          <w:numId w:val="26"/>
        </w:numPr>
        <w:spacing w:line="360" w:lineRule="auto"/>
        <w:rPr>
          <w:rFonts w:ascii="宋体" w:hAnsi="宋体"/>
          <w:sz w:val="21"/>
          <w:szCs w:val="21"/>
        </w:rPr>
      </w:pPr>
      <w:r>
        <w:rPr>
          <w:rFonts w:hint="eastAsia" w:ascii="宋体" w:hAnsi="宋体"/>
          <w:sz w:val="21"/>
          <w:szCs w:val="21"/>
        </w:rPr>
        <w:t>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pPr>
        <w:numPr>
          <w:ilvl w:val="0"/>
          <w:numId w:val="26"/>
        </w:numPr>
        <w:spacing w:line="360" w:lineRule="auto"/>
        <w:rPr>
          <w:rFonts w:ascii="宋体" w:hAnsi="宋体"/>
          <w:sz w:val="21"/>
          <w:szCs w:val="21"/>
        </w:rPr>
      </w:pPr>
      <w:r>
        <w:rPr>
          <w:rFonts w:hint="eastAsia" w:ascii="宋体" w:hAnsi="宋体"/>
          <w:sz w:val="21"/>
          <w:szCs w:val="21"/>
        </w:rPr>
        <w:t>本投标函自本项目投标截止日起生效。</w:t>
      </w:r>
    </w:p>
    <w:p>
      <w:pPr>
        <w:pStyle w:val="12"/>
        <w:tabs>
          <w:tab w:val="left" w:pos="5580"/>
        </w:tabs>
        <w:spacing w:line="360" w:lineRule="auto"/>
        <w:ind w:firstLine="4095" w:firstLineChars="1950"/>
        <w:rPr>
          <w:rFonts w:hAnsi="宋体"/>
        </w:rPr>
      </w:pPr>
      <w:r>
        <w:rPr>
          <w:rFonts w:hint="eastAsia" w:hAnsi="宋体"/>
        </w:rPr>
        <w:t>投标人公</w:t>
      </w:r>
      <w:r>
        <w:rPr>
          <w:rFonts w:hAnsi="宋体"/>
        </w:rPr>
        <w:t>章</w:t>
      </w:r>
      <w:r>
        <w:rPr>
          <w:rFonts w:hint="eastAsia" w:hAnsi="宋体"/>
        </w:rPr>
        <w:t>（电子签章）：</w:t>
      </w:r>
      <w:r>
        <w:rPr>
          <w:rFonts w:hAnsi="宋体"/>
        </w:rPr>
        <w:t>__________________</w:t>
      </w:r>
    </w:p>
    <w:p>
      <w:pPr>
        <w:pStyle w:val="30"/>
        <w:numPr>
          <w:ilvl w:val="0"/>
          <w:numId w:val="0"/>
        </w:numPr>
        <w:tabs>
          <w:tab w:val="left" w:pos="660"/>
        </w:tabs>
        <w:snapToGrid w:val="0"/>
        <w:spacing w:before="0" w:line="400" w:lineRule="exact"/>
      </w:pPr>
    </w:p>
    <w:p>
      <w:pPr>
        <w:pStyle w:val="12"/>
        <w:tabs>
          <w:tab w:val="left" w:pos="5580"/>
        </w:tabs>
        <w:spacing w:line="300" w:lineRule="auto"/>
        <w:rPr>
          <w:rFonts w:hAnsi="宋体"/>
        </w:rPr>
      </w:pPr>
      <w:r>
        <w:rPr>
          <w:rFonts w:hint="eastAsia" w:hAnsi="宋体"/>
        </w:rPr>
        <w:t>投标人相关备注信息：</w:t>
      </w:r>
    </w:p>
    <w:tbl>
      <w:tblPr>
        <w:tblStyle w:val="18"/>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12"/>
              <w:tabs>
                <w:tab w:val="left" w:pos="5580"/>
              </w:tabs>
              <w:spacing w:line="300" w:lineRule="auto"/>
              <w:rPr>
                <w:rFonts w:hAnsi="宋体"/>
              </w:rPr>
            </w:pPr>
            <w:r>
              <w:rPr>
                <w:rFonts w:hint="eastAsia" w:hAnsi="宋体"/>
              </w:rPr>
              <w:t>投标人地址</w:t>
            </w:r>
          </w:p>
        </w:tc>
        <w:tc>
          <w:tcPr>
            <w:tcW w:w="7138" w:type="dxa"/>
          </w:tcPr>
          <w:p>
            <w:pPr>
              <w:pStyle w:val="12"/>
              <w:tabs>
                <w:tab w:val="left" w:pos="5580"/>
              </w:tabs>
              <w:spacing w:line="30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12"/>
              <w:tabs>
                <w:tab w:val="left" w:pos="5580"/>
              </w:tabs>
              <w:spacing w:line="300" w:lineRule="auto"/>
              <w:rPr>
                <w:rFonts w:hAnsi="宋体"/>
              </w:rPr>
            </w:pPr>
            <w:r>
              <w:rPr>
                <w:rFonts w:hint="eastAsia" w:hAnsi="宋体"/>
              </w:rPr>
              <w:t>授权代表姓名</w:t>
            </w:r>
          </w:p>
        </w:tc>
        <w:tc>
          <w:tcPr>
            <w:tcW w:w="7138" w:type="dxa"/>
          </w:tcPr>
          <w:p>
            <w:pPr>
              <w:pStyle w:val="12"/>
              <w:tabs>
                <w:tab w:val="left" w:pos="5580"/>
              </w:tabs>
              <w:spacing w:line="30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12"/>
              <w:tabs>
                <w:tab w:val="left" w:pos="5580"/>
              </w:tabs>
              <w:spacing w:line="300" w:lineRule="auto"/>
              <w:rPr>
                <w:rFonts w:hAnsi="宋体"/>
              </w:rPr>
            </w:pPr>
            <w:r>
              <w:rPr>
                <w:rFonts w:hint="eastAsia" w:hAnsi="宋体"/>
              </w:rPr>
              <w:t>授权代表手机号</w:t>
            </w:r>
          </w:p>
        </w:tc>
        <w:tc>
          <w:tcPr>
            <w:tcW w:w="7138" w:type="dxa"/>
          </w:tcPr>
          <w:p>
            <w:pPr>
              <w:pStyle w:val="12"/>
              <w:tabs>
                <w:tab w:val="left" w:pos="5580"/>
              </w:tabs>
              <w:spacing w:line="30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12"/>
              <w:tabs>
                <w:tab w:val="left" w:pos="5580"/>
              </w:tabs>
              <w:spacing w:line="300" w:lineRule="auto"/>
              <w:rPr>
                <w:rFonts w:hAnsi="宋体"/>
              </w:rPr>
            </w:pPr>
            <w:r>
              <w:rPr>
                <w:rFonts w:hint="eastAsia" w:hAnsi="宋体"/>
              </w:rPr>
              <w:t>授权代表邮箱</w:t>
            </w:r>
          </w:p>
        </w:tc>
        <w:tc>
          <w:tcPr>
            <w:tcW w:w="7138" w:type="dxa"/>
          </w:tcPr>
          <w:p>
            <w:pPr>
              <w:pStyle w:val="12"/>
              <w:tabs>
                <w:tab w:val="left" w:pos="5580"/>
              </w:tabs>
              <w:spacing w:line="300" w:lineRule="auto"/>
              <w:rPr>
                <w:rFonts w:hAnsi="宋体"/>
              </w:rPr>
            </w:pPr>
          </w:p>
        </w:tc>
      </w:tr>
    </w:tbl>
    <w:p>
      <w:pPr>
        <w:pStyle w:val="12"/>
        <w:tabs>
          <w:tab w:val="left" w:pos="5580"/>
        </w:tabs>
        <w:spacing w:line="300" w:lineRule="auto"/>
        <w:rPr>
          <w:rFonts w:hAnsi="宋体"/>
        </w:rPr>
      </w:pPr>
      <w:r>
        <w:rPr>
          <w:rFonts w:hint="eastAsia" w:hAnsi="宋体"/>
        </w:rPr>
        <w:t>请投标人按要求填写上述备注信息，不作为评审使用。</w:t>
      </w:r>
    </w:p>
    <w:p>
      <w:pPr>
        <w:spacing w:before="499" w:beforeLines="160"/>
        <w:rPr>
          <w:rFonts w:ascii="宋体" w:hAnsi="宋体"/>
          <w:b/>
          <w:sz w:val="21"/>
          <w:szCs w:val="21"/>
        </w:rPr>
        <w:sectPr>
          <w:pgSz w:w="11907" w:h="16840"/>
          <w:pgMar w:top="1701" w:right="1588" w:bottom="1701" w:left="1588" w:header="851" w:footer="851" w:gutter="0"/>
          <w:cols w:space="720" w:num="1"/>
          <w:docGrid w:type="lines" w:linePitch="312" w:charSpace="0"/>
        </w:sectPr>
      </w:pPr>
    </w:p>
    <w:p>
      <w:pPr>
        <w:pStyle w:val="30"/>
        <w:numPr>
          <w:ilvl w:val="1"/>
          <w:numId w:val="25"/>
        </w:numPr>
        <w:tabs>
          <w:tab w:val="left" w:pos="660"/>
        </w:tabs>
        <w:snapToGrid w:val="0"/>
        <w:spacing w:before="0" w:line="400" w:lineRule="exact"/>
        <w:rPr>
          <w:rFonts w:cs="微软雅黑"/>
          <w:color w:val="auto"/>
          <w:szCs w:val="21"/>
        </w:rPr>
      </w:pPr>
      <w:r>
        <w:rPr>
          <w:rFonts w:hint="eastAsia" w:cs="微软雅黑"/>
          <w:color w:val="auto"/>
          <w:szCs w:val="21"/>
        </w:rPr>
        <w:t>投标分项报价表</w:t>
      </w:r>
    </w:p>
    <w:p>
      <w:pPr>
        <w:tabs>
          <w:tab w:val="left" w:pos="1800"/>
          <w:tab w:val="left" w:pos="5580"/>
        </w:tabs>
        <w:rPr>
          <w:rFonts w:ascii="宋体" w:hAnsi="宋体"/>
          <w:sz w:val="21"/>
          <w:szCs w:val="21"/>
        </w:rPr>
      </w:pPr>
      <w:r>
        <w:rPr>
          <w:rFonts w:hint="eastAsia" w:ascii="宋体" w:hAnsi="宋体"/>
          <w:sz w:val="21"/>
          <w:szCs w:val="21"/>
        </w:rPr>
        <w:t>采购编号：</w:t>
      </w:r>
    </w:p>
    <w:p>
      <w:pPr>
        <w:tabs>
          <w:tab w:val="left" w:pos="1800"/>
          <w:tab w:val="left" w:pos="5580"/>
        </w:tabs>
        <w:rPr>
          <w:rFonts w:ascii="宋体" w:hAnsi="宋体"/>
          <w:sz w:val="21"/>
          <w:szCs w:val="21"/>
        </w:rPr>
      </w:pPr>
      <w:r>
        <w:rPr>
          <w:rFonts w:hint="eastAsia" w:ascii="宋体" w:hAnsi="宋体"/>
          <w:sz w:val="21"/>
          <w:szCs w:val="21"/>
        </w:rPr>
        <w:t>项目名称：</w:t>
      </w:r>
    </w:p>
    <w:p>
      <w:pPr>
        <w:tabs>
          <w:tab w:val="left" w:pos="1800"/>
          <w:tab w:val="left" w:pos="5580"/>
        </w:tabs>
        <w:rPr>
          <w:rFonts w:ascii="宋体" w:hAnsi="宋体"/>
          <w:sz w:val="21"/>
          <w:szCs w:val="21"/>
        </w:rPr>
      </w:pPr>
      <w:r>
        <w:rPr>
          <w:rFonts w:hint="eastAsia" w:ascii="宋体" w:hAnsi="宋体"/>
          <w:sz w:val="21"/>
          <w:szCs w:val="21"/>
        </w:rPr>
        <w:t>包号：　</w:t>
      </w:r>
    </w:p>
    <w:p>
      <w:pPr>
        <w:tabs>
          <w:tab w:val="left" w:pos="1800"/>
          <w:tab w:val="left" w:pos="5580"/>
        </w:tabs>
        <w:ind w:firstLine="11340" w:firstLineChars="5400"/>
        <w:rPr>
          <w:rFonts w:ascii="宋体" w:hAnsi="宋体"/>
          <w:sz w:val="21"/>
          <w:szCs w:val="21"/>
        </w:rPr>
      </w:pPr>
      <w:r>
        <w:rPr>
          <w:rFonts w:hint="eastAsia" w:ascii="宋体" w:hAnsi="宋体"/>
          <w:sz w:val="21"/>
          <w:szCs w:val="21"/>
        </w:rPr>
        <w:t>单位：元</w:t>
      </w:r>
    </w:p>
    <w:tbl>
      <w:tblPr>
        <w:tblStyle w:val="18"/>
        <w:tblW w:w="12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702"/>
        <w:gridCol w:w="4203"/>
        <w:gridCol w:w="1225"/>
        <w:gridCol w:w="1225"/>
        <w:gridCol w:w="122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pStyle w:val="12"/>
              <w:spacing w:before="156"/>
              <w:jc w:val="center"/>
              <w:rPr>
                <w:rFonts w:hAnsi="宋体"/>
                <w:b/>
                <w:color w:val="000000"/>
              </w:rPr>
            </w:pPr>
            <w:r>
              <w:rPr>
                <w:rFonts w:hint="eastAsia" w:hAnsi="宋体"/>
                <w:b/>
                <w:color w:val="000000"/>
              </w:rPr>
              <w:t>序号</w:t>
            </w:r>
          </w:p>
        </w:tc>
        <w:tc>
          <w:tcPr>
            <w:tcW w:w="2702" w:type="dxa"/>
            <w:vAlign w:val="center"/>
          </w:tcPr>
          <w:p>
            <w:pPr>
              <w:pStyle w:val="12"/>
              <w:spacing w:before="156"/>
              <w:jc w:val="center"/>
              <w:rPr>
                <w:rFonts w:hAnsi="宋体"/>
                <w:b/>
                <w:color w:val="000000"/>
              </w:rPr>
            </w:pPr>
            <w:r>
              <w:rPr>
                <w:rFonts w:hint="eastAsia" w:hAnsi="宋体"/>
                <w:b/>
                <w:color w:val="000000"/>
              </w:rPr>
              <w:t>服务或货物名称</w:t>
            </w:r>
          </w:p>
        </w:tc>
        <w:tc>
          <w:tcPr>
            <w:tcW w:w="4203" w:type="dxa"/>
            <w:vAlign w:val="center"/>
          </w:tcPr>
          <w:p>
            <w:pPr>
              <w:pStyle w:val="12"/>
              <w:spacing w:before="156"/>
              <w:jc w:val="center"/>
              <w:rPr>
                <w:rFonts w:hAnsi="宋体"/>
                <w:b/>
                <w:color w:val="000000"/>
              </w:rPr>
            </w:pPr>
            <w:r>
              <w:rPr>
                <w:rFonts w:hint="eastAsia" w:hAnsi="宋体"/>
                <w:b/>
                <w:color w:val="000000"/>
              </w:rPr>
              <w:t>服务项目描述或货物型号规格</w:t>
            </w:r>
          </w:p>
        </w:tc>
        <w:tc>
          <w:tcPr>
            <w:tcW w:w="1225" w:type="dxa"/>
            <w:vAlign w:val="center"/>
          </w:tcPr>
          <w:p>
            <w:pPr>
              <w:pStyle w:val="12"/>
              <w:spacing w:before="156"/>
              <w:jc w:val="center"/>
              <w:rPr>
                <w:rFonts w:hAnsi="宋体"/>
                <w:b/>
                <w:color w:val="000000"/>
              </w:rPr>
            </w:pPr>
            <w:r>
              <w:rPr>
                <w:rFonts w:hint="eastAsia" w:hAnsi="宋体"/>
                <w:b/>
                <w:color w:val="000000"/>
              </w:rPr>
              <w:t>数 量</w:t>
            </w:r>
          </w:p>
        </w:tc>
        <w:tc>
          <w:tcPr>
            <w:tcW w:w="1225" w:type="dxa"/>
            <w:vAlign w:val="center"/>
          </w:tcPr>
          <w:p>
            <w:pPr>
              <w:pStyle w:val="12"/>
              <w:spacing w:before="156"/>
              <w:jc w:val="center"/>
              <w:rPr>
                <w:rFonts w:hAnsi="宋体"/>
                <w:b/>
                <w:color w:val="000000"/>
              </w:rPr>
            </w:pPr>
            <w:r>
              <w:rPr>
                <w:rFonts w:hint="eastAsia" w:hAnsi="宋体"/>
                <w:b/>
                <w:color w:val="000000"/>
              </w:rPr>
              <w:t>单位</w:t>
            </w:r>
          </w:p>
        </w:tc>
        <w:tc>
          <w:tcPr>
            <w:tcW w:w="1225" w:type="dxa"/>
            <w:vAlign w:val="center"/>
          </w:tcPr>
          <w:p>
            <w:pPr>
              <w:pStyle w:val="12"/>
              <w:spacing w:before="156"/>
              <w:jc w:val="center"/>
              <w:rPr>
                <w:rFonts w:hAnsi="宋体"/>
                <w:b/>
                <w:color w:val="000000"/>
              </w:rPr>
            </w:pPr>
            <w:r>
              <w:rPr>
                <w:rFonts w:hint="eastAsia" w:hAnsi="宋体"/>
                <w:b/>
                <w:color w:val="000000"/>
              </w:rPr>
              <w:t>单 价</w:t>
            </w:r>
          </w:p>
        </w:tc>
        <w:tc>
          <w:tcPr>
            <w:tcW w:w="1034" w:type="dxa"/>
            <w:vAlign w:val="center"/>
          </w:tcPr>
          <w:p>
            <w:pPr>
              <w:pStyle w:val="12"/>
              <w:spacing w:before="156"/>
              <w:jc w:val="center"/>
              <w:rPr>
                <w:rFonts w:hAnsi="宋体"/>
                <w:b/>
                <w:color w:val="000000"/>
              </w:rPr>
            </w:pPr>
            <w:r>
              <w:rPr>
                <w:rFonts w:hint="eastAsia" w:hAnsi="宋体"/>
                <w:b/>
                <w:color w:val="000000"/>
              </w:rPr>
              <w:t>总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2"/>
              <w:jc w:val="center"/>
              <w:rPr>
                <w:rFonts w:hAnsi="宋体"/>
                <w:color w:val="000000"/>
              </w:rPr>
            </w:pPr>
          </w:p>
        </w:tc>
        <w:tc>
          <w:tcPr>
            <w:tcW w:w="2702" w:type="dxa"/>
          </w:tcPr>
          <w:p>
            <w:pPr>
              <w:pStyle w:val="12"/>
              <w:rPr>
                <w:rFonts w:hAnsi="宋体"/>
                <w:color w:val="000000"/>
              </w:rPr>
            </w:pPr>
          </w:p>
        </w:tc>
        <w:tc>
          <w:tcPr>
            <w:tcW w:w="4203"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034" w:type="dxa"/>
          </w:tcPr>
          <w:p>
            <w:pPr>
              <w:pStyle w:val="1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2"/>
              <w:jc w:val="center"/>
              <w:rPr>
                <w:rFonts w:hAnsi="宋体"/>
                <w:color w:val="000000"/>
              </w:rPr>
            </w:pPr>
          </w:p>
        </w:tc>
        <w:tc>
          <w:tcPr>
            <w:tcW w:w="2702" w:type="dxa"/>
          </w:tcPr>
          <w:p>
            <w:pPr>
              <w:pStyle w:val="12"/>
              <w:rPr>
                <w:rFonts w:hAnsi="宋体"/>
                <w:color w:val="000000"/>
              </w:rPr>
            </w:pPr>
          </w:p>
        </w:tc>
        <w:tc>
          <w:tcPr>
            <w:tcW w:w="4203"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034" w:type="dxa"/>
          </w:tcPr>
          <w:p>
            <w:pPr>
              <w:pStyle w:val="1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2"/>
              <w:jc w:val="center"/>
              <w:rPr>
                <w:rFonts w:hAnsi="宋体"/>
                <w:color w:val="000000"/>
              </w:rPr>
            </w:pPr>
          </w:p>
        </w:tc>
        <w:tc>
          <w:tcPr>
            <w:tcW w:w="2702" w:type="dxa"/>
          </w:tcPr>
          <w:p>
            <w:pPr>
              <w:pStyle w:val="12"/>
              <w:rPr>
                <w:rFonts w:hAnsi="宋体"/>
                <w:color w:val="000000"/>
              </w:rPr>
            </w:pPr>
          </w:p>
        </w:tc>
        <w:tc>
          <w:tcPr>
            <w:tcW w:w="4203"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034" w:type="dxa"/>
          </w:tcPr>
          <w:p>
            <w:pPr>
              <w:pStyle w:val="12"/>
              <w:rPr>
                <w:rFonts w:hAnsi="宋体"/>
                <w:color w:val="000000"/>
              </w:rPr>
            </w:pPr>
          </w:p>
        </w:tc>
      </w:tr>
      <w:tr>
        <w:tblPrEx>
          <w:tblCellMar>
            <w:top w:w="0" w:type="dxa"/>
            <w:left w:w="108" w:type="dxa"/>
            <w:bottom w:w="0" w:type="dxa"/>
            <w:right w:w="108" w:type="dxa"/>
          </w:tblCellMar>
        </w:tblPrEx>
        <w:tc>
          <w:tcPr>
            <w:tcW w:w="814" w:type="dxa"/>
          </w:tcPr>
          <w:p>
            <w:pPr>
              <w:pStyle w:val="12"/>
              <w:jc w:val="center"/>
              <w:rPr>
                <w:rFonts w:hAnsi="宋体"/>
                <w:color w:val="000000"/>
              </w:rPr>
            </w:pPr>
          </w:p>
        </w:tc>
        <w:tc>
          <w:tcPr>
            <w:tcW w:w="2702" w:type="dxa"/>
          </w:tcPr>
          <w:p>
            <w:pPr>
              <w:pStyle w:val="12"/>
              <w:rPr>
                <w:rFonts w:hAnsi="宋体"/>
                <w:color w:val="000000"/>
              </w:rPr>
            </w:pPr>
          </w:p>
        </w:tc>
        <w:tc>
          <w:tcPr>
            <w:tcW w:w="4203"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034" w:type="dxa"/>
          </w:tcPr>
          <w:p>
            <w:pPr>
              <w:pStyle w:val="1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2"/>
              <w:jc w:val="center"/>
              <w:rPr>
                <w:rFonts w:hAnsi="宋体"/>
                <w:color w:val="000000"/>
              </w:rPr>
            </w:pPr>
          </w:p>
        </w:tc>
        <w:tc>
          <w:tcPr>
            <w:tcW w:w="2702" w:type="dxa"/>
          </w:tcPr>
          <w:p>
            <w:pPr>
              <w:pStyle w:val="12"/>
              <w:rPr>
                <w:rFonts w:hAnsi="宋体"/>
                <w:color w:val="000000"/>
              </w:rPr>
            </w:pPr>
          </w:p>
        </w:tc>
        <w:tc>
          <w:tcPr>
            <w:tcW w:w="4203"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034" w:type="dxa"/>
          </w:tcPr>
          <w:p>
            <w:pPr>
              <w:pStyle w:val="1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2"/>
              <w:jc w:val="center"/>
              <w:rPr>
                <w:rFonts w:hAnsi="宋体"/>
                <w:color w:val="000000"/>
              </w:rPr>
            </w:pPr>
          </w:p>
        </w:tc>
        <w:tc>
          <w:tcPr>
            <w:tcW w:w="2702" w:type="dxa"/>
          </w:tcPr>
          <w:p>
            <w:pPr>
              <w:pStyle w:val="12"/>
              <w:rPr>
                <w:rFonts w:hAnsi="宋体"/>
                <w:color w:val="000000"/>
              </w:rPr>
            </w:pPr>
          </w:p>
        </w:tc>
        <w:tc>
          <w:tcPr>
            <w:tcW w:w="4203"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225" w:type="dxa"/>
          </w:tcPr>
          <w:p>
            <w:pPr>
              <w:pStyle w:val="12"/>
              <w:rPr>
                <w:rFonts w:hAnsi="宋体"/>
                <w:color w:val="000000"/>
              </w:rPr>
            </w:pPr>
          </w:p>
        </w:tc>
        <w:tc>
          <w:tcPr>
            <w:tcW w:w="1034" w:type="dxa"/>
          </w:tcPr>
          <w:p>
            <w:pPr>
              <w:pStyle w:val="1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2"/>
              <w:jc w:val="center"/>
              <w:rPr>
                <w:rFonts w:hAnsi="宋体"/>
                <w:color w:val="000000"/>
              </w:rPr>
            </w:pPr>
            <w:r>
              <w:rPr>
                <w:rFonts w:hint="eastAsia" w:hAnsi="宋体"/>
                <w:color w:val="000000"/>
              </w:rPr>
              <w:t>总价</w:t>
            </w:r>
          </w:p>
        </w:tc>
        <w:tc>
          <w:tcPr>
            <w:tcW w:w="11614" w:type="dxa"/>
            <w:gridSpan w:val="6"/>
          </w:tcPr>
          <w:p>
            <w:pPr>
              <w:pStyle w:val="12"/>
              <w:rPr>
                <w:rFonts w:hAnsi="宋体"/>
                <w:color w:val="000000"/>
              </w:rPr>
            </w:pPr>
          </w:p>
        </w:tc>
      </w:tr>
    </w:tbl>
    <w:p>
      <w:pPr>
        <w:pStyle w:val="12"/>
        <w:tabs>
          <w:tab w:val="left" w:pos="5580"/>
        </w:tabs>
        <w:spacing w:before="120" w:line="22" w:lineRule="atLeast"/>
        <w:rPr>
          <w:rFonts w:hAnsi="宋体"/>
          <w:u w:val="single"/>
        </w:rPr>
      </w:pPr>
    </w:p>
    <w:p>
      <w:pPr>
        <w:pStyle w:val="12"/>
        <w:tabs>
          <w:tab w:val="left" w:pos="5580"/>
        </w:tabs>
        <w:spacing w:line="302" w:lineRule="auto"/>
        <w:ind w:left="420"/>
        <w:rPr>
          <w:rFonts w:hAnsi="宋体"/>
        </w:rPr>
      </w:pPr>
    </w:p>
    <w:p>
      <w:pPr>
        <w:pStyle w:val="12"/>
        <w:tabs>
          <w:tab w:val="left" w:pos="5580"/>
        </w:tabs>
        <w:spacing w:line="360" w:lineRule="auto"/>
        <w:ind w:firstLine="4095" w:firstLineChars="1950"/>
        <w:rPr>
          <w:rFonts w:hAnsi="宋体"/>
        </w:rPr>
      </w:pPr>
      <w:r>
        <w:rPr>
          <w:rFonts w:hint="eastAsia" w:hAnsi="宋体"/>
        </w:rPr>
        <w:t xml:space="preserve">                                 投标人公</w:t>
      </w:r>
      <w:r>
        <w:rPr>
          <w:rFonts w:hAnsi="宋体"/>
        </w:rPr>
        <w:t>章</w:t>
      </w:r>
      <w:r>
        <w:rPr>
          <w:rFonts w:hint="eastAsia" w:hAnsi="宋体"/>
        </w:rPr>
        <w:t>（电子签章）：</w:t>
      </w:r>
      <w:r>
        <w:rPr>
          <w:rFonts w:hAnsi="宋体"/>
        </w:rPr>
        <w:t>__________________</w:t>
      </w:r>
    </w:p>
    <w:p>
      <w:pPr>
        <w:rPr>
          <w:rFonts w:ascii="宋体" w:hAnsi="宋体"/>
        </w:rPr>
      </w:pPr>
    </w:p>
    <w:p>
      <w:pPr>
        <w:tabs>
          <w:tab w:val="left" w:pos="5580"/>
        </w:tabs>
        <w:spacing w:line="302" w:lineRule="auto"/>
        <w:rPr>
          <w:rFonts w:ascii="宋体" w:hAnsi="宋体"/>
          <w:sz w:val="21"/>
          <w:szCs w:val="21"/>
        </w:rPr>
      </w:pPr>
      <w:r>
        <w:rPr>
          <w:rFonts w:hint="eastAsia" w:ascii="宋体" w:hAnsi="宋体"/>
          <w:sz w:val="21"/>
          <w:szCs w:val="21"/>
        </w:rPr>
        <w:t>说明：</w:t>
      </w:r>
    </w:p>
    <w:p>
      <w:pPr>
        <w:tabs>
          <w:tab w:val="left" w:pos="5580"/>
        </w:tabs>
        <w:spacing w:line="302" w:lineRule="auto"/>
        <w:rPr>
          <w:rFonts w:ascii="宋体" w:hAnsi="宋体"/>
          <w:sz w:val="21"/>
          <w:szCs w:val="21"/>
        </w:rPr>
      </w:pPr>
      <w:r>
        <w:rPr>
          <w:rFonts w:hint="eastAsia" w:ascii="宋体" w:hAnsi="宋体"/>
          <w:sz w:val="21"/>
          <w:szCs w:val="21"/>
        </w:rPr>
        <w:t>1、如本项目报价方式与上述分项报价表格式不适用，请投标人自行编制投标分项报价表，并加盖投标人公章</w:t>
      </w:r>
      <w:r>
        <w:rPr>
          <w:rFonts w:hint="eastAsia" w:hAnsi="宋体"/>
          <w:sz w:val="21"/>
          <w:szCs w:val="21"/>
        </w:rPr>
        <w:t>（电子签章）</w:t>
      </w:r>
      <w:r>
        <w:rPr>
          <w:rFonts w:hint="eastAsia" w:ascii="宋体" w:hAnsi="宋体"/>
          <w:sz w:val="21"/>
          <w:szCs w:val="21"/>
        </w:rPr>
        <w:t>。</w:t>
      </w:r>
    </w:p>
    <w:p>
      <w:pPr>
        <w:tabs>
          <w:tab w:val="left" w:pos="5580"/>
        </w:tabs>
        <w:spacing w:line="302" w:lineRule="auto"/>
        <w:rPr>
          <w:rFonts w:ascii="宋体" w:hAnsi="宋体"/>
          <w:sz w:val="21"/>
          <w:szCs w:val="21"/>
        </w:rPr>
      </w:pPr>
      <w:r>
        <w:rPr>
          <w:rFonts w:hint="eastAsia" w:ascii="宋体" w:hAnsi="宋体"/>
          <w:sz w:val="21"/>
          <w:szCs w:val="21"/>
        </w:rPr>
        <w:t>2、投标分项报价表汇总总价须与在电子投标制作工具客户端制作生成并加密上传的投标一览表的总价一致。</w:t>
      </w:r>
    </w:p>
    <w:p>
      <w:pPr>
        <w:pStyle w:val="30"/>
        <w:numPr>
          <w:ilvl w:val="0"/>
          <w:numId w:val="0"/>
        </w:numPr>
        <w:tabs>
          <w:tab w:val="left" w:pos="660"/>
        </w:tabs>
        <w:snapToGrid w:val="0"/>
        <w:spacing w:before="0" w:line="400" w:lineRule="exact"/>
        <w:ind w:left="254"/>
        <w:rPr>
          <w:rFonts w:cs="微软雅黑"/>
          <w:color w:val="auto"/>
          <w:szCs w:val="21"/>
        </w:rPr>
        <w:sectPr>
          <w:pgSz w:w="16840" w:h="11907" w:orient="landscape"/>
          <w:pgMar w:top="1588" w:right="1701" w:bottom="1588" w:left="1701" w:header="851" w:footer="851" w:gutter="0"/>
          <w:cols w:space="720" w:num="1"/>
          <w:docGrid w:type="linesAndChars" w:linePitch="312" w:charSpace="0"/>
        </w:sectPr>
      </w:pPr>
    </w:p>
    <w:p>
      <w:pPr>
        <w:pStyle w:val="30"/>
        <w:numPr>
          <w:ilvl w:val="1"/>
          <w:numId w:val="25"/>
        </w:numPr>
        <w:tabs>
          <w:tab w:val="left" w:pos="660"/>
        </w:tabs>
        <w:snapToGrid w:val="0"/>
        <w:spacing w:before="0" w:line="400" w:lineRule="exact"/>
        <w:rPr>
          <w:rFonts w:cs="微软雅黑"/>
          <w:color w:val="auto"/>
          <w:szCs w:val="21"/>
        </w:rPr>
      </w:pPr>
      <w:r>
        <w:rPr>
          <w:rFonts w:hint="eastAsia" w:cs="微软雅黑"/>
          <w:color w:val="auto"/>
          <w:szCs w:val="21"/>
        </w:rPr>
        <w:t>中小企业声明函（服务）</w:t>
      </w:r>
    </w:p>
    <w:p>
      <w:pPr>
        <w:pStyle w:val="39"/>
        <w:spacing w:line="360" w:lineRule="auto"/>
        <w:ind w:left="420"/>
        <w:rPr>
          <w:rFonts w:ascii="宋体" w:hAnsi="宋体"/>
          <w:sz w:val="21"/>
          <w:szCs w:val="21"/>
        </w:rPr>
      </w:pPr>
      <w:r>
        <w:rPr>
          <w:rFonts w:hint="eastAsia" w:ascii="宋体" w:hAnsi="宋体"/>
          <w:sz w:val="21"/>
          <w:szCs w:val="21"/>
        </w:rPr>
        <w:t>本公司（联合体）郑重声明，根据《政府采购促进中小企业发展管理办法》（财库﹝2020﹞46号）的规定，本公司（联合体）参加</w:t>
      </w:r>
      <w:r>
        <w:rPr>
          <w:rFonts w:hint="eastAsia" w:ascii="宋体" w:hAnsi="宋体"/>
          <w:sz w:val="21"/>
          <w:szCs w:val="21"/>
          <w:u w:val="single"/>
        </w:rPr>
        <w:t>（单位名称）</w:t>
      </w:r>
      <w:r>
        <w:rPr>
          <w:rFonts w:hint="eastAsia" w:ascii="宋体" w:hAnsi="宋体"/>
          <w:sz w:val="21"/>
          <w:szCs w:val="21"/>
        </w:rPr>
        <w:t>的</w:t>
      </w:r>
      <w:r>
        <w:rPr>
          <w:rFonts w:hint="eastAsia" w:ascii="宋体" w:hAnsi="宋体"/>
          <w:sz w:val="21"/>
          <w:szCs w:val="21"/>
          <w:u w:val="single"/>
        </w:rPr>
        <w:t>（项目名称）</w:t>
      </w:r>
      <w:r>
        <w:rPr>
          <w:rFonts w:hint="eastAsia" w:ascii="宋体" w:hAnsi="宋体"/>
          <w:sz w:val="21"/>
          <w:szCs w:val="21"/>
        </w:rPr>
        <w:t>采购活动，服务全部由符合政策要求的中小企业承接。相关企业（含联合体中的中小企业、签订分包意向协议的中小企业）的具体情况如下：</w:t>
      </w:r>
    </w:p>
    <w:p>
      <w:pPr>
        <w:pStyle w:val="39"/>
        <w:spacing w:line="360" w:lineRule="auto"/>
        <w:ind w:left="420"/>
        <w:rPr>
          <w:rFonts w:ascii="宋体" w:hAnsi="宋体"/>
          <w:sz w:val="21"/>
          <w:szCs w:val="21"/>
        </w:rPr>
      </w:pPr>
      <w:r>
        <w:rPr>
          <w:rFonts w:hint="eastAsia" w:ascii="宋体" w:hAnsi="宋体"/>
          <w:sz w:val="21"/>
          <w:szCs w:val="21"/>
        </w:rPr>
        <w:t>1.</w:t>
      </w:r>
      <w:r>
        <w:rPr>
          <w:rFonts w:hint="eastAsia" w:ascii="宋体" w:hAnsi="宋体"/>
          <w:sz w:val="21"/>
          <w:szCs w:val="21"/>
          <w:u w:val="single"/>
        </w:rPr>
        <w:t>（标的名称）</w:t>
      </w:r>
      <w:r>
        <w:rPr>
          <w:rFonts w:hint="eastAsia" w:ascii="宋体" w:hAnsi="宋体"/>
          <w:sz w:val="21"/>
          <w:szCs w:val="21"/>
        </w:rPr>
        <w:t>，属于</w:t>
      </w:r>
      <w:r>
        <w:rPr>
          <w:rFonts w:hint="eastAsia" w:ascii="宋体" w:hAnsi="宋体"/>
          <w:sz w:val="21"/>
          <w:szCs w:val="21"/>
          <w:u w:val="single"/>
        </w:rPr>
        <w:t>（采购文件中明确的所属行业）</w:t>
      </w:r>
      <w:r>
        <w:rPr>
          <w:rFonts w:hint="eastAsia" w:ascii="宋体" w:hAnsi="宋体"/>
          <w:sz w:val="21"/>
          <w:szCs w:val="21"/>
        </w:rPr>
        <w:t>；承接企业为</w:t>
      </w:r>
      <w:r>
        <w:rPr>
          <w:rFonts w:hint="eastAsia" w:ascii="宋体" w:hAnsi="宋体"/>
          <w:sz w:val="21"/>
          <w:szCs w:val="21"/>
          <w:u w:val="single"/>
        </w:rPr>
        <w:t>（企业名称）</w:t>
      </w:r>
      <w:r>
        <w:rPr>
          <w:rFonts w:hint="eastAsia" w:ascii="宋体" w:hAnsi="宋体"/>
          <w:sz w:val="21"/>
          <w:szCs w:val="21"/>
        </w:rPr>
        <w:t>，从业人员</w:t>
      </w:r>
      <w:r>
        <w:rPr>
          <w:rFonts w:hint="eastAsia" w:ascii="宋体" w:hAnsi="宋体"/>
          <w:sz w:val="21"/>
          <w:szCs w:val="21"/>
          <w:u w:val="single"/>
        </w:rPr>
        <w:t xml:space="preserve">         </w:t>
      </w:r>
      <w:r>
        <w:rPr>
          <w:rFonts w:hint="eastAsia" w:ascii="宋体" w:hAnsi="宋体"/>
          <w:sz w:val="21"/>
          <w:szCs w:val="21"/>
        </w:rPr>
        <w:t>人，营业收入为</w:t>
      </w:r>
      <w:r>
        <w:rPr>
          <w:rFonts w:hint="eastAsia" w:ascii="宋体" w:hAnsi="宋体"/>
          <w:sz w:val="21"/>
          <w:szCs w:val="21"/>
          <w:u w:val="single"/>
        </w:rPr>
        <w:t xml:space="preserve">         </w:t>
      </w:r>
      <w:r>
        <w:rPr>
          <w:rFonts w:hint="eastAsia" w:ascii="宋体" w:hAnsi="宋体"/>
          <w:sz w:val="21"/>
          <w:szCs w:val="21"/>
        </w:rPr>
        <w:t>万元，资产总额为</w:t>
      </w:r>
      <w:r>
        <w:rPr>
          <w:rFonts w:hint="eastAsia" w:ascii="宋体" w:hAnsi="宋体"/>
          <w:sz w:val="21"/>
          <w:szCs w:val="21"/>
          <w:u w:val="single"/>
        </w:rPr>
        <w:t xml:space="preserve">         </w:t>
      </w:r>
      <w:r>
        <w:rPr>
          <w:rFonts w:hint="eastAsia" w:ascii="宋体" w:hAnsi="宋体"/>
          <w:sz w:val="21"/>
          <w:szCs w:val="21"/>
        </w:rPr>
        <w:t>万元，属于</w:t>
      </w:r>
      <w:r>
        <w:rPr>
          <w:rFonts w:hint="eastAsia" w:ascii="宋体" w:hAnsi="宋体"/>
          <w:sz w:val="21"/>
          <w:szCs w:val="21"/>
          <w:u w:val="single"/>
        </w:rPr>
        <w:t>（中型企业、小型企业、微型企业）</w:t>
      </w:r>
      <w:r>
        <w:rPr>
          <w:rFonts w:hint="eastAsia" w:ascii="宋体" w:hAnsi="宋体"/>
          <w:sz w:val="21"/>
          <w:szCs w:val="21"/>
        </w:rPr>
        <w:t>；</w:t>
      </w:r>
    </w:p>
    <w:p>
      <w:pPr>
        <w:pStyle w:val="39"/>
        <w:spacing w:line="360" w:lineRule="auto"/>
        <w:ind w:left="420"/>
        <w:rPr>
          <w:rFonts w:ascii="宋体" w:hAnsi="宋体"/>
          <w:sz w:val="21"/>
          <w:szCs w:val="21"/>
        </w:rPr>
      </w:pPr>
      <w:r>
        <w:rPr>
          <w:rFonts w:hint="eastAsia" w:ascii="宋体" w:hAnsi="宋体"/>
          <w:sz w:val="21"/>
          <w:szCs w:val="21"/>
        </w:rPr>
        <w:t>2.</w:t>
      </w:r>
      <w:r>
        <w:rPr>
          <w:rFonts w:hint="eastAsia" w:ascii="宋体" w:hAnsi="宋体"/>
          <w:sz w:val="21"/>
          <w:szCs w:val="21"/>
          <w:u w:val="single"/>
        </w:rPr>
        <w:t>（标的名称）</w:t>
      </w:r>
      <w:r>
        <w:rPr>
          <w:rFonts w:hint="eastAsia" w:ascii="宋体" w:hAnsi="宋体"/>
          <w:sz w:val="21"/>
          <w:szCs w:val="21"/>
        </w:rPr>
        <w:t>，属于</w:t>
      </w:r>
      <w:r>
        <w:rPr>
          <w:rFonts w:hint="eastAsia" w:ascii="宋体" w:hAnsi="宋体"/>
          <w:sz w:val="21"/>
          <w:szCs w:val="21"/>
          <w:u w:val="single"/>
        </w:rPr>
        <w:t>（采购文件中明确的所属行业）</w:t>
      </w:r>
      <w:r>
        <w:rPr>
          <w:rFonts w:hint="eastAsia" w:ascii="宋体" w:hAnsi="宋体"/>
          <w:sz w:val="21"/>
          <w:szCs w:val="21"/>
        </w:rPr>
        <w:t>；承接企业为</w:t>
      </w:r>
      <w:r>
        <w:rPr>
          <w:rFonts w:hint="eastAsia" w:ascii="宋体" w:hAnsi="宋体"/>
          <w:sz w:val="21"/>
          <w:szCs w:val="21"/>
          <w:u w:val="single"/>
        </w:rPr>
        <w:t>（企业名称）</w:t>
      </w:r>
      <w:r>
        <w:rPr>
          <w:rFonts w:hint="eastAsia" w:ascii="宋体" w:hAnsi="宋体"/>
          <w:sz w:val="21"/>
          <w:szCs w:val="21"/>
        </w:rPr>
        <w:t>，从业人员</w:t>
      </w:r>
      <w:r>
        <w:rPr>
          <w:rFonts w:hint="eastAsia" w:ascii="宋体" w:hAnsi="宋体"/>
          <w:sz w:val="21"/>
          <w:szCs w:val="21"/>
          <w:u w:val="single"/>
        </w:rPr>
        <w:t xml:space="preserve">         </w:t>
      </w:r>
      <w:r>
        <w:rPr>
          <w:rFonts w:hint="eastAsia" w:ascii="宋体" w:hAnsi="宋体"/>
          <w:sz w:val="21"/>
          <w:szCs w:val="21"/>
        </w:rPr>
        <w:t>人，营业收入为</w:t>
      </w:r>
      <w:r>
        <w:rPr>
          <w:rFonts w:hint="eastAsia" w:ascii="宋体" w:hAnsi="宋体"/>
          <w:sz w:val="21"/>
          <w:szCs w:val="21"/>
          <w:u w:val="single"/>
        </w:rPr>
        <w:t xml:space="preserve">         </w:t>
      </w:r>
      <w:r>
        <w:rPr>
          <w:rFonts w:hint="eastAsia" w:ascii="宋体" w:hAnsi="宋体"/>
          <w:sz w:val="21"/>
          <w:szCs w:val="21"/>
        </w:rPr>
        <w:t>万元，资产总额为</w:t>
      </w:r>
      <w:r>
        <w:rPr>
          <w:rFonts w:hint="eastAsia" w:ascii="宋体" w:hAnsi="宋体"/>
          <w:sz w:val="21"/>
          <w:szCs w:val="21"/>
          <w:u w:val="single"/>
        </w:rPr>
        <w:t xml:space="preserve">         </w:t>
      </w:r>
      <w:r>
        <w:rPr>
          <w:rFonts w:hint="eastAsia" w:ascii="宋体" w:hAnsi="宋体"/>
          <w:sz w:val="21"/>
          <w:szCs w:val="21"/>
        </w:rPr>
        <w:t>万元，属于</w:t>
      </w:r>
      <w:r>
        <w:rPr>
          <w:rFonts w:hint="eastAsia" w:ascii="宋体" w:hAnsi="宋体"/>
          <w:sz w:val="21"/>
          <w:szCs w:val="21"/>
          <w:u w:val="single"/>
        </w:rPr>
        <w:t>（中型企业、小型企业、微型企业）</w:t>
      </w:r>
      <w:r>
        <w:rPr>
          <w:rFonts w:hint="eastAsia" w:ascii="宋体" w:hAnsi="宋体"/>
          <w:sz w:val="21"/>
          <w:szCs w:val="21"/>
        </w:rPr>
        <w:t>；</w:t>
      </w:r>
    </w:p>
    <w:p>
      <w:pPr>
        <w:pStyle w:val="39"/>
        <w:spacing w:line="360" w:lineRule="auto"/>
        <w:ind w:left="420"/>
        <w:rPr>
          <w:rFonts w:ascii="宋体" w:hAnsi="宋体"/>
          <w:sz w:val="21"/>
          <w:szCs w:val="21"/>
        </w:rPr>
      </w:pPr>
      <w:r>
        <w:rPr>
          <w:rFonts w:hint="eastAsia" w:ascii="宋体" w:hAnsi="宋体"/>
          <w:sz w:val="21"/>
          <w:szCs w:val="21"/>
        </w:rPr>
        <w:t>……</w:t>
      </w:r>
    </w:p>
    <w:p>
      <w:pPr>
        <w:pStyle w:val="39"/>
        <w:spacing w:line="360" w:lineRule="auto"/>
        <w:ind w:left="420"/>
        <w:rPr>
          <w:rFonts w:ascii="宋体" w:hAnsi="宋体"/>
          <w:sz w:val="21"/>
          <w:szCs w:val="21"/>
        </w:rPr>
      </w:pPr>
      <w:r>
        <w:rPr>
          <w:rFonts w:hint="eastAsia" w:ascii="宋体" w:hAnsi="宋体"/>
          <w:sz w:val="21"/>
          <w:szCs w:val="21"/>
        </w:rPr>
        <w:t>以上企业，不属于大企业的分支机构，不存在控股股东为大企业的情形，也不存在与大企业的负责人为同一人的情形。</w:t>
      </w:r>
    </w:p>
    <w:p>
      <w:pPr>
        <w:pStyle w:val="39"/>
        <w:spacing w:line="360" w:lineRule="auto"/>
        <w:ind w:left="420"/>
        <w:rPr>
          <w:rFonts w:ascii="宋体" w:hAnsi="宋体"/>
          <w:sz w:val="21"/>
          <w:szCs w:val="21"/>
        </w:rPr>
      </w:pPr>
      <w:r>
        <w:rPr>
          <w:rFonts w:hint="eastAsia" w:ascii="宋体" w:hAnsi="宋体"/>
          <w:sz w:val="21"/>
          <w:szCs w:val="21"/>
        </w:rPr>
        <w:t>本企业对上述声明内容的真实性负责。如有虚假，将依法承担相应责任。</w:t>
      </w:r>
    </w:p>
    <w:p>
      <w:pPr>
        <w:pStyle w:val="39"/>
        <w:ind w:left="420"/>
        <w:rPr>
          <w:rFonts w:ascii="宋体" w:hAnsi="宋体"/>
          <w:sz w:val="21"/>
          <w:szCs w:val="21"/>
        </w:rPr>
      </w:pPr>
    </w:p>
    <w:p>
      <w:pPr>
        <w:pStyle w:val="39"/>
        <w:ind w:left="420"/>
        <w:rPr>
          <w:rFonts w:ascii="宋体" w:hAnsi="宋体"/>
          <w:sz w:val="21"/>
          <w:szCs w:val="21"/>
        </w:rPr>
      </w:pPr>
    </w:p>
    <w:p>
      <w:pPr>
        <w:rPr>
          <w:rFonts w:ascii="宋体" w:hAnsi="宋体"/>
          <w:sz w:val="21"/>
          <w:szCs w:val="21"/>
        </w:rPr>
      </w:pPr>
    </w:p>
    <w:p>
      <w:pPr>
        <w:ind w:firstLine="3990" w:firstLineChars="1900"/>
        <w:rPr>
          <w:rFonts w:ascii="宋体" w:hAnsi="宋体"/>
          <w:sz w:val="21"/>
          <w:szCs w:val="21"/>
        </w:rPr>
      </w:pPr>
      <w:r>
        <w:rPr>
          <w:rFonts w:hint="eastAsia" w:ascii="宋体" w:hAnsi="宋体"/>
          <w:sz w:val="21"/>
          <w:szCs w:val="21"/>
        </w:rPr>
        <w:t>企业名称（盖章）：</w:t>
      </w:r>
    </w:p>
    <w:p>
      <w:pPr>
        <w:ind w:firstLine="3990" w:firstLineChars="1900"/>
        <w:rPr>
          <w:rFonts w:ascii="宋体" w:hAnsi="宋体"/>
          <w:sz w:val="21"/>
          <w:szCs w:val="21"/>
        </w:rPr>
      </w:pPr>
      <w:r>
        <w:rPr>
          <w:rFonts w:hint="eastAsia" w:ascii="宋体" w:hAnsi="宋体"/>
          <w:sz w:val="21"/>
          <w:szCs w:val="21"/>
        </w:rPr>
        <w:t>日 期：</w:t>
      </w:r>
    </w:p>
    <w:p>
      <w:pPr>
        <w:rPr>
          <w:rFonts w:ascii="宋体" w:hAnsi="宋体"/>
          <w:sz w:val="21"/>
          <w:szCs w:val="21"/>
        </w:rPr>
      </w:pPr>
    </w:p>
    <w:p>
      <w:pPr>
        <w:rPr>
          <w:rFonts w:ascii="宋体" w:hAnsi="宋体"/>
          <w:sz w:val="21"/>
          <w:szCs w:val="21"/>
        </w:rPr>
      </w:pPr>
      <w:r>
        <w:rPr>
          <w:rFonts w:hint="eastAsia" w:ascii="宋体" w:hAnsi="宋体"/>
          <w:sz w:val="21"/>
          <w:szCs w:val="21"/>
        </w:rPr>
        <w:t>说明：</w:t>
      </w:r>
    </w:p>
    <w:p>
      <w:pPr>
        <w:pStyle w:val="39"/>
        <w:numPr>
          <w:ilvl w:val="0"/>
          <w:numId w:val="27"/>
        </w:numPr>
        <w:adjustRightInd/>
        <w:spacing w:line="240" w:lineRule="auto"/>
        <w:ind w:firstLineChars="0"/>
        <w:jc w:val="both"/>
        <w:textAlignment w:val="auto"/>
        <w:rPr>
          <w:rFonts w:ascii="宋体" w:hAnsi="宋体"/>
          <w:sz w:val="21"/>
          <w:szCs w:val="21"/>
        </w:rPr>
      </w:pPr>
      <w:r>
        <w:rPr>
          <w:rFonts w:hint="eastAsia" w:ascii="宋体" w:hAnsi="宋体"/>
          <w:sz w:val="21"/>
          <w:szCs w:val="21"/>
        </w:rPr>
        <w:t>从业人员、营业收入、资产总额填报上一年度数据，无上一年度数据的新成立企业可不填报。</w:t>
      </w:r>
    </w:p>
    <w:p>
      <w:pPr>
        <w:pStyle w:val="39"/>
        <w:numPr>
          <w:ilvl w:val="0"/>
          <w:numId w:val="27"/>
        </w:numPr>
        <w:adjustRightInd/>
        <w:spacing w:line="240" w:lineRule="auto"/>
        <w:ind w:firstLineChars="0"/>
        <w:jc w:val="both"/>
        <w:textAlignment w:val="auto"/>
        <w:rPr>
          <w:rFonts w:ascii="宋体" w:hAnsi="宋体"/>
          <w:sz w:val="21"/>
          <w:szCs w:val="21"/>
        </w:rPr>
      </w:pPr>
      <w:r>
        <w:rPr>
          <w:rFonts w:hint="eastAsia" w:ascii="宋体" w:hAnsi="宋体"/>
          <w:sz w:val="21"/>
          <w:szCs w:val="21"/>
        </w:rPr>
        <w:t>供应商不享受本办法规定的中小企业扶持政策的，无须提供本声明函。</w:t>
      </w:r>
    </w:p>
    <w:p>
      <w:pPr>
        <w:pStyle w:val="39"/>
        <w:numPr>
          <w:ilvl w:val="0"/>
          <w:numId w:val="27"/>
        </w:numPr>
        <w:kinsoku w:val="0"/>
        <w:overflowPunct w:val="0"/>
        <w:autoSpaceDE w:val="0"/>
        <w:autoSpaceDN w:val="0"/>
        <w:adjustRightInd/>
        <w:snapToGrid w:val="0"/>
        <w:spacing w:line="320" w:lineRule="exact"/>
        <w:ind w:firstLineChars="0"/>
        <w:jc w:val="both"/>
        <w:textAlignment w:val="auto"/>
        <w:rPr>
          <w:rFonts w:ascii="宋体" w:hAnsi="宋体" w:cs="微软雅黑"/>
          <w:bCs/>
          <w:sz w:val="21"/>
          <w:szCs w:val="21"/>
        </w:rPr>
      </w:pPr>
      <w:r>
        <w:rPr>
          <w:rFonts w:hint="eastAsia" w:ascii="宋体" w:hAnsi="宋体" w:cs="微软雅黑"/>
          <w:bCs/>
          <w:sz w:val="21"/>
          <w:szCs w:val="21"/>
        </w:rPr>
        <w:t>本声明函中</w:t>
      </w:r>
      <w:r>
        <w:rPr>
          <w:rFonts w:hint="eastAsia" w:ascii="宋体" w:hAnsi="宋体"/>
          <w:sz w:val="21"/>
          <w:szCs w:val="21"/>
        </w:rPr>
        <w:t>采购文件中明确的所属行业名称</w:t>
      </w:r>
      <w:r>
        <w:rPr>
          <w:rFonts w:hint="eastAsia" w:ascii="宋体" w:hAnsi="宋体" w:cs="微软雅黑"/>
          <w:bCs/>
          <w:sz w:val="21"/>
          <w:szCs w:val="21"/>
        </w:rPr>
        <w:t>详见招标文件第二部分投标人须知前附表。</w:t>
      </w:r>
    </w:p>
    <w:p>
      <w:pPr>
        <w:pStyle w:val="39"/>
        <w:numPr>
          <w:ilvl w:val="0"/>
          <w:numId w:val="27"/>
        </w:numPr>
        <w:kinsoku w:val="0"/>
        <w:overflowPunct w:val="0"/>
        <w:autoSpaceDE w:val="0"/>
        <w:autoSpaceDN w:val="0"/>
        <w:adjustRightInd/>
        <w:snapToGrid w:val="0"/>
        <w:spacing w:line="320" w:lineRule="exact"/>
        <w:ind w:firstLineChars="0"/>
        <w:jc w:val="both"/>
        <w:textAlignment w:val="auto"/>
        <w:rPr>
          <w:rFonts w:ascii="宋体" w:hAnsi="宋体" w:cs="微软雅黑"/>
          <w:bCs/>
          <w:sz w:val="21"/>
          <w:szCs w:val="21"/>
        </w:rPr>
      </w:pPr>
      <w:r>
        <w:rPr>
          <w:rFonts w:hint="eastAsia" w:ascii="宋体" w:hAnsi="宋体" w:cs="微软雅黑"/>
          <w:bCs/>
          <w:sz w:val="21"/>
          <w:szCs w:val="21"/>
        </w:rPr>
        <w:t>中小企业划分标准详见工业和信息化部、国家统计局、国家发展和改革委员会、财政部联合印发的《关于印发中小企业划型标准规定的通知》（工信部联企业〔2011〕300号）。</w:t>
      </w:r>
    </w:p>
    <w:p>
      <w:pPr>
        <w:pStyle w:val="39"/>
        <w:numPr>
          <w:ilvl w:val="0"/>
          <w:numId w:val="27"/>
        </w:numPr>
        <w:adjustRightInd/>
        <w:spacing w:line="240" w:lineRule="auto"/>
        <w:ind w:firstLineChars="0"/>
        <w:jc w:val="both"/>
        <w:textAlignment w:val="auto"/>
        <w:rPr>
          <w:rFonts w:ascii="宋体" w:hAnsi="宋体"/>
          <w:sz w:val="21"/>
          <w:szCs w:val="21"/>
        </w:rPr>
      </w:pPr>
      <w:r>
        <w:rPr>
          <w:rFonts w:hint="eastAsia" w:ascii="宋体" w:hAnsi="宋体"/>
          <w:sz w:val="21"/>
          <w:szCs w:val="21"/>
        </w:rPr>
        <w:t>本声明函中企业名称（盖章）指加盖投标人公</w:t>
      </w:r>
      <w:r>
        <w:rPr>
          <w:rFonts w:ascii="宋体" w:hAnsi="宋体"/>
          <w:sz w:val="21"/>
          <w:szCs w:val="21"/>
        </w:rPr>
        <w:t>章</w:t>
      </w:r>
      <w:r>
        <w:rPr>
          <w:rFonts w:hint="eastAsia" w:ascii="宋体" w:hAnsi="宋体"/>
          <w:sz w:val="21"/>
          <w:szCs w:val="21"/>
        </w:rPr>
        <w:t>（电子签章）。</w:t>
      </w:r>
    </w:p>
    <w:p>
      <w:pPr>
        <w:rPr>
          <w:rFonts w:ascii="宋体" w:hAnsi="宋体"/>
        </w:rPr>
        <w:sectPr>
          <w:pgSz w:w="11907" w:h="16840"/>
          <w:pgMar w:top="1701" w:right="1588" w:bottom="1701" w:left="1588" w:header="851" w:footer="851" w:gutter="0"/>
          <w:cols w:space="720" w:num="1"/>
          <w:docGrid w:type="lines" w:linePitch="312" w:charSpace="0"/>
        </w:sectPr>
      </w:pPr>
    </w:p>
    <w:p>
      <w:pPr>
        <w:pStyle w:val="30"/>
        <w:numPr>
          <w:ilvl w:val="1"/>
          <w:numId w:val="23"/>
        </w:numPr>
        <w:tabs>
          <w:tab w:val="left" w:pos="660"/>
        </w:tabs>
        <w:snapToGrid w:val="0"/>
        <w:spacing w:before="0" w:line="400" w:lineRule="exact"/>
        <w:rPr>
          <w:rFonts w:cs="微软雅黑"/>
          <w:szCs w:val="21"/>
        </w:rPr>
      </w:pPr>
      <w:r>
        <w:rPr>
          <w:rFonts w:hint="eastAsia" w:cs="微软雅黑"/>
          <w:color w:val="auto"/>
          <w:szCs w:val="21"/>
        </w:rPr>
        <w:t>残疾人福利性单位声明函</w:t>
      </w:r>
    </w:p>
    <w:p>
      <w:pPr>
        <w:spacing w:line="588" w:lineRule="exact"/>
        <w:rPr>
          <w:rFonts w:ascii="仿宋_GB2312" w:eastAsia="仿宋_GB2312"/>
          <w:b/>
          <w:spacing w:val="6"/>
          <w:sz w:val="30"/>
          <w:szCs w:val="30"/>
        </w:rPr>
      </w:pPr>
    </w:p>
    <w:p>
      <w:pPr>
        <w:spacing w:before="312" w:beforeLines="100" w:line="302" w:lineRule="auto"/>
        <w:ind w:firstLine="420" w:firstLineChars="200"/>
        <w:rPr>
          <w:rFonts w:ascii="宋体" w:hAnsi="宋体"/>
          <w:sz w:val="21"/>
          <w:szCs w:val="21"/>
        </w:rPr>
      </w:pPr>
      <w:r>
        <w:rPr>
          <w:rFonts w:hint="eastAsia" w:ascii="宋体" w:hAnsi="宋体"/>
          <w:sz w:val="21"/>
          <w:szCs w:val="21"/>
        </w:rPr>
        <w:t>本单位郑重声明，根据《财政部</w:t>
      </w:r>
      <w:r>
        <w:rPr>
          <w:rFonts w:ascii="宋体" w:hAnsi="宋体"/>
          <w:sz w:val="21"/>
          <w:szCs w:val="21"/>
        </w:rPr>
        <w:t xml:space="preserve"> </w:t>
      </w:r>
      <w:r>
        <w:rPr>
          <w:rFonts w:hint="eastAsia" w:ascii="宋体" w:hAnsi="宋体"/>
          <w:sz w:val="21"/>
          <w:szCs w:val="21"/>
        </w:rPr>
        <w:t>民政部</w:t>
      </w:r>
      <w:r>
        <w:rPr>
          <w:rFonts w:ascii="宋体" w:hAnsi="宋体"/>
          <w:sz w:val="21"/>
          <w:szCs w:val="21"/>
        </w:rPr>
        <w:t xml:space="preserve"> </w:t>
      </w:r>
      <w:r>
        <w:rPr>
          <w:rFonts w:hint="eastAsia" w:ascii="宋体" w:hAnsi="宋体"/>
          <w:sz w:val="21"/>
          <w:szCs w:val="21"/>
        </w:rPr>
        <w:t>中国残疾人联合会关于促进残疾人就业政府采购政策的通知》（财库〔2017〕</w:t>
      </w:r>
      <w:r>
        <w:rPr>
          <w:rFonts w:ascii="宋体" w:hAnsi="宋体"/>
          <w:sz w:val="21"/>
          <w:szCs w:val="21"/>
        </w:rPr>
        <w:t xml:space="preserve"> 141</w:t>
      </w:r>
      <w:r>
        <w:rPr>
          <w:rFonts w:hint="eastAsia" w:ascii="宋体" w:hAnsi="宋体"/>
          <w:sz w:val="21"/>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312" w:beforeLines="100" w:line="302" w:lineRule="auto"/>
        <w:ind w:firstLine="420" w:firstLineChars="200"/>
        <w:rPr>
          <w:rFonts w:ascii="宋体" w:hAnsi="宋体"/>
          <w:sz w:val="21"/>
          <w:szCs w:val="21"/>
        </w:rPr>
      </w:pPr>
      <w:r>
        <w:rPr>
          <w:rFonts w:hint="eastAsia" w:ascii="宋体" w:hAnsi="宋体"/>
          <w:sz w:val="21"/>
          <w:szCs w:val="21"/>
        </w:rPr>
        <w:t>本单位对上述声明的真实性负责。如有虚假，将依法承担相应责任。</w:t>
      </w:r>
    </w:p>
    <w:p>
      <w:pPr>
        <w:spacing w:line="240" w:lineRule="auto"/>
        <w:ind w:firstLine="444" w:firstLineChars="200"/>
        <w:rPr>
          <w:rFonts w:ascii="宋体" w:hAnsi="宋体"/>
          <w:spacing w:val="6"/>
          <w:sz w:val="21"/>
          <w:szCs w:val="21"/>
        </w:rPr>
      </w:pPr>
    </w:p>
    <w:p>
      <w:pPr>
        <w:spacing w:line="588" w:lineRule="exact"/>
        <w:ind w:firstLine="444" w:firstLineChars="200"/>
        <w:rPr>
          <w:rFonts w:ascii="宋体" w:hAnsi="宋体"/>
          <w:spacing w:val="6"/>
          <w:sz w:val="21"/>
          <w:szCs w:val="21"/>
        </w:rPr>
      </w:pPr>
    </w:p>
    <w:p>
      <w:pPr>
        <w:pStyle w:val="12"/>
        <w:tabs>
          <w:tab w:val="left" w:pos="5580"/>
        </w:tabs>
        <w:spacing w:line="300" w:lineRule="auto"/>
        <w:rPr>
          <w:rFonts w:hAnsi="宋体"/>
        </w:rPr>
      </w:pPr>
      <w:r>
        <w:rPr>
          <w:rFonts w:hint="eastAsia" w:hAnsi="宋体"/>
        </w:rPr>
        <w:t xml:space="preserve">                                           投标人公</w:t>
      </w:r>
      <w:r>
        <w:rPr>
          <w:rFonts w:hAnsi="宋体"/>
        </w:rPr>
        <w:t>章</w:t>
      </w:r>
      <w:r>
        <w:rPr>
          <w:rFonts w:hint="eastAsia" w:hAnsi="宋体"/>
        </w:rPr>
        <w:t>（电子签章）：</w:t>
      </w:r>
      <w:r>
        <w:rPr>
          <w:rFonts w:hAnsi="宋体"/>
        </w:rPr>
        <w:t>__________________</w:t>
      </w:r>
    </w:p>
    <w:p>
      <w:pPr>
        <w:spacing w:line="300" w:lineRule="auto"/>
        <w:ind w:firstLine="4620" w:firstLineChars="2200"/>
        <w:rPr>
          <w:rFonts w:ascii="宋体" w:hAnsi="宋体"/>
          <w:sz w:val="21"/>
          <w:szCs w:val="21"/>
        </w:rPr>
      </w:pPr>
      <w:r>
        <w:rPr>
          <w:rFonts w:hint="eastAsia" w:ascii="宋体" w:hAnsi="宋体"/>
          <w:sz w:val="21"/>
          <w:szCs w:val="21"/>
        </w:rPr>
        <w:t>日 期：</w:t>
      </w:r>
      <w:r>
        <w:rPr>
          <w:rFonts w:hAnsi="宋体"/>
        </w:rPr>
        <w:t>__________________</w:t>
      </w:r>
    </w:p>
    <w:bookmarkEnd w:id="88"/>
    <w:p>
      <w:pPr>
        <w:pStyle w:val="30"/>
        <w:numPr>
          <w:ilvl w:val="0"/>
          <w:numId w:val="0"/>
        </w:numPr>
        <w:tabs>
          <w:tab w:val="left" w:pos="660"/>
        </w:tabs>
        <w:snapToGrid w:val="0"/>
        <w:spacing w:before="0" w:line="400" w:lineRule="exact"/>
        <w:rPr>
          <w:b w:val="0"/>
          <w:szCs w:val="21"/>
        </w:rPr>
      </w:pPr>
    </w:p>
    <w:sectPr>
      <w:pgSz w:w="11907" w:h="16840"/>
      <w:pgMar w:top="1701" w:right="1588" w:bottom="1701" w:left="1588" w:header="851" w:footer="8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2"/>
      <w:rPr>
        <w:rStyle w:val="21"/>
      </w:rPr>
    </w:pPr>
    <w:r>
      <w:fldChar w:fldCharType="begin"/>
    </w:r>
    <w:r>
      <w:rPr>
        <w:rStyle w:val="21"/>
      </w:rPr>
      <w:instrText xml:space="preserve">PAGE  </w:instrText>
    </w:r>
    <w:r>
      <w:fldChar w:fldCharType="separate"/>
    </w:r>
    <w:r>
      <w:rPr>
        <w:rStyle w:val="21"/>
      </w:rPr>
      <w:t>1</w: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2"/>
      <w:rPr>
        <w:rStyle w:val="21"/>
      </w:rPr>
    </w:pPr>
    <w:r>
      <w:fldChar w:fldCharType="begin"/>
    </w:r>
    <w:r>
      <w:rPr>
        <w:rStyle w:val="21"/>
      </w:rPr>
      <w:instrText xml:space="preserve">PAGE  </w:instrText>
    </w:r>
    <w:r>
      <w:fldChar w:fldCharType="separate"/>
    </w:r>
    <w:r>
      <w:rPr>
        <w:rStyle w:val="21"/>
      </w:rPr>
      <w:t>7</w:t>
    </w:r>
    <w:r>
      <w:fldChar w:fldCharType="end"/>
    </w:r>
  </w:p>
  <w:p>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2"/>
      <w:rPr>
        <w:rStyle w:val="21"/>
      </w:rPr>
    </w:pPr>
    <w:r>
      <w:fldChar w:fldCharType="begin"/>
    </w:r>
    <w:r>
      <w:rPr>
        <w:rStyle w:val="21"/>
      </w:rPr>
      <w:instrText xml:space="preserve">PAGE  </w:instrText>
    </w:r>
    <w:r>
      <w:fldChar w:fldCharType="separate"/>
    </w:r>
    <w:r>
      <w:rPr>
        <w:rStyle w:val="21"/>
      </w:rPr>
      <w:t>7</w: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Align="top"/>
    </w:pPr>
  </w:p>
  <w:p>
    <w:pPr>
      <w:pStyle w:val="14"/>
      <w:ind w:right="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66</w:t>
    </w:r>
    <w:r>
      <w:rPr>
        <w:szCs w:val="21"/>
      </w:rPr>
      <w:fldChar w:fldCharType="end"/>
    </w:r>
    <w:r>
      <w:rPr>
        <w:rFonts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rPr>
      <w:t>北京市政府采购中心招标文件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rPr>
      <w:t>北京市政府采购中心招标文件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52838"/>
    <w:multiLevelType w:val="multilevel"/>
    <w:tmpl w:val="D6C52838"/>
    <w:lvl w:ilvl="0" w:tentative="0">
      <w:start w:val="1"/>
      <w:numFmt w:val="chineseCountingThousand"/>
      <w:lvlText w:val="%1、"/>
      <w:lvlJc w:val="left"/>
      <w:pPr>
        <w:ind w:left="420" w:hanging="420"/>
      </w:pPr>
      <w:rPr>
        <w:rFonts w:hint="eastAsia"/>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3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1320"/>
        </w:tabs>
        <w:ind w:left="1320" w:hanging="420"/>
      </w:pPr>
      <w:rPr>
        <w:rFonts w:hint="default"/>
        <w:u w:val="none"/>
      </w:rPr>
    </w:lvl>
    <w:lvl w:ilvl="2" w:tentative="0">
      <w:start w:val="17"/>
      <w:numFmt w:val="decimal"/>
      <w:lvlText w:val="%3"/>
      <w:lvlJc w:val="left"/>
      <w:pPr>
        <w:tabs>
          <w:tab w:val="left" w:pos="1680"/>
        </w:tabs>
        <w:ind w:left="1680" w:hanging="360"/>
      </w:pPr>
      <w:rPr>
        <w:rFonts w:hint="default" w:ascii="Times New Roman" w:hAnsi="Times New Roman" w:eastAsia="宋体"/>
        <w:u w:val="none"/>
      </w:rPr>
    </w:lvl>
    <w:lvl w:ilvl="3" w:tentative="0">
      <w:start w:val="1"/>
      <w:numFmt w:val="decimal"/>
      <w:lvlText w:val="%4."/>
      <w:lvlJc w:val="left"/>
      <w:pPr>
        <w:tabs>
          <w:tab w:val="left" w:pos="2160"/>
        </w:tabs>
        <w:ind w:left="2160" w:hanging="420"/>
      </w:pPr>
      <w:rPr>
        <w:rFonts w:hint="default"/>
        <w:u w:val="none"/>
      </w:rPr>
    </w:lvl>
    <w:lvl w:ilvl="4" w:tentative="0">
      <w:start w:val="1"/>
      <w:numFmt w:val="lowerLetter"/>
      <w:lvlText w:val="%5)"/>
      <w:lvlJc w:val="left"/>
      <w:pPr>
        <w:tabs>
          <w:tab w:val="left" w:pos="2580"/>
        </w:tabs>
        <w:ind w:left="2580" w:hanging="420"/>
      </w:pPr>
      <w:rPr>
        <w:rFonts w:hint="default"/>
        <w:u w:val="none"/>
      </w:rPr>
    </w:lvl>
    <w:lvl w:ilvl="5" w:tentative="0">
      <w:start w:val="1"/>
      <w:numFmt w:val="lowerRoman"/>
      <w:lvlText w:val="%6."/>
      <w:lvlJc w:val="right"/>
      <w:pPr>
        <w:tabs>
          <w:tab w:val="left" w:pos="3000"/>
        </w:tabs>
        <w:ind w:left="3000" w:hanging="420"/>
      </w:pPr>
      <w:rPr>
        <w:rFonts w:hint="default"/>
        <w:u w:val="none"/>
      </w:rPr>
    </w:lvl>
    <w:lvl w:ilvl="6" w:tentative="0">
      <w:start w:val="1"/>
      <w:numFmt w:val="decimal"/>
      <w:lvlText w:val="%7."/>
      <w:lvlJc w:val="left"/>
      <w:pPr>
        <w:tabs>
          <w:tab w:val="left" w:pos="3420"/>
        </w:tabs>
        <w:ind w:left="3420" w:hanging="420"/>
      </w:pPr>
      <w:rPr>
        <w:rFonts w:hint="default"/>
        <w:u w:val="none"/>
      </w:rPr>
    </w:lvl>
    <w:lvl w:ilvl="7" w:tentative="0">
      <w:start w:val="1"/>
      <w:numFmt w:val="lowerLetter"/>
      <w:lvlText w:val="%8)"/>
      <w:lvlJc w:val="left"/>
      <w:pPr>
        <w:tabs>
          <w:tab w:val="left" w:pos="3840"/>
        </w:tabs>
        <w:ind w:left="3840" w:hanging="420"/>
      </w:pPr>
      <w:rPr>
        <w:rFonts w:hint="default"/>
        <w:u w:val="none"/>
      </w:rPr>
    </w:lvl>
    <w:lvl w:ilvl="8" w:tentative="0">
      <w:start w:val="1"/>
      <w:numFmt w:val="lowerRoman"/>
      <w:lvlText w:val="%9."/>
      <w:lvlJc w:val="right"/>
      <w:pPr>
        <w:tabs>
          <w:tab w:val="left" w:pos="4260"/>
        </w:tabs>
        <w:ind w:left="4260" w:hanging="420"/>
      </w:pPr>
      <w:rPr>
        <w:rFonts w:hint="default"/>
        <w:u w:val="none"/>
      </w:rPr>
    </w:lvl>
  </w:abstractNum>
  <w:abstractNum w:abstractNumId="5">
    <w:nsid w:val="0FF50994"/>
    <w:multiLevelType w:val="multilevel"/>
    <w:tmpl w:val="0FF5099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D809B2"/>
    <w:multiLevelType w:val="multilevel"/>
    <w:tmpl w:val="12D809B2"/>
    <w:lvl w:ilvl="0" w:tentative="0">
      <w:start w:val="1"/>
      <w:numFmt w:val="chineseCountingThousand"/>
      <w:lvlText w:val="%1、"/>
      <w:lvlJc w:val="left"/>
      <w:pPr>
        <w:ind w:left="420" w:hanging="420"/>
      </w:pPr>
      <w:rPr>
        <w:rFonts w:hint="eastAsia"/>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E74F9C"/>
    <w:multiLevelType w:val="multilevel"/>
    <w:tmpl w:val="1AE74F9C"/>
    <w:lvl w:ilvl="0" w:tentative="0">
      <w:start w:val="1"/>
      <w:numFmt w:val="decimal"/>
      <w:lvlText w:val="%1、"/>
      <w:lvlJc w:val="left"/>
      <w:pPr>
        <w:tabs>
          <w:tab w:val="left" w:pos="840"/>
        </w:tabs>
        <w:ind w:left="840" w:hanging="420"/>
      </w:pPr>
      <w:rPr>
        <w:rFonts w:hint="eastAsia"/>
      </w:rPr>
    </w:lvl>
    <w:lvl w:ilvl="1" w:tentative="0">
      <w:start w:val="1"/>
      <w:numFmt w:val="chineseCountingThousand"/>
      <w:lvlText w:val="%2、"/>
      <w:lvlJc w:val="left"/>
      <w:pPr>
        <w:tabs>
          <w:tab w:val="left" w:pos="420"/>
        </w:tabs>
        <w:ind w:left="420" w:hanging="420"/>
      </w:pPr>
      <w:rPr>
        <w:rFonts w:hint="eastAsia"/>
        <w:lang w:val="en-US"/>
      </w:rPr>
    </w:lvl>
    <w:lvl w:ilvl="2" w:tentative="0">
      <w:start w:val="10"/>
      <w:numFmt w:val="chineseCountingThousand"/>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2001054"/>
    <w:multiLevelType w:val="multilevel"/>
    <w:tmpl w:val="22001054"/>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9">
    <w:nsid w:val="262F1723"/>
    <w:multiLevelType w:val="multilevel"/>
    <w:tmpl w:val="262F1723"/>
    <w:lvl w:ilvl="0" w:tentative="0">
      <w:start w:val="1"/>
      <w:numFmt w:val="chineseCountingThousand"/>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408F6600"/>
    <w:multiLevelType w:val="multilevel"/>
    <w:tmpl w:val="408F660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1B1735"/>
    <w:multiLevelType w:val="multilevel"/>
    <w:tmpl w:val="471B1735"/>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2">
    <w:nsid w:val="4C1334F8"/>
    <w:multiLevelType w:val="multilevel"/>
    <w:tmpl w:val="4C1334F8"/>
    <w:lvl w:ilvl="0" w:tentative="0">
      <w:start w:val="1"/>
      <w:numFmt w:val="decimal"/>
      <w:lvlText w:val="%1."/>
      <w:lvlJc w:val="left"/>
      <w:pPr>
        <w:tabs>
          <w:tab w:val="left" w:pos="916"/>
        </w:tabs>
        <w:ind w:left="916" w:hanging="420"/>
      </w:pPr>
      <w:rPr>
        <w:rFonts w:hint="default"/>
      </w:rPr>
    </w:lvl>
    <w:lvl w:ilvl="1" w:tentative="0">
      <w:start w:val="1"/>
      <w:numFmt w:val="decimal"/>
      <w:lvlText w:val="%2."/>
      <w:lvlJc w:val="left"/>
      <w:pPr>
        <w:tabs>
          <w:tab w:val="left" w:pos="1635"/>
        </w:tabs>
        <w:ind w:left="1635" w:hanging="735"/>
      </w:pPr>
      <w:rPr>
        <w:rFonts w:hint="default"/>
      </w:rPr>
    </w:lvl>
    <w:lvl w:ilvl="2" w:tentative="0">
      <w:start w:val="4"/>
      <w:numFmt w:val="japaneseCounting"/>
      <w:lvlText w:val="%3、"/>
      <w:lvlJc w:val="left"/>
      <w:pPr>
        <w:tabs>
          <w:tab w:val="left" w:pos="1740"/>
        </w:tabs>
        <w:ind w:left="1740" w:hanging="420"/>
      </w:pPr>
      <w:rPr>
        <w:rFonts w:hint="default"/>
      </w:rPr>
    </w:lvl>
    <w:lvl w:ilvl="3" w:tentative="0">
      <w:start w:val="1"/>
      <w:numFmt w:val="decimal"/>
      <w:lvlText w:val="（%4）"/>
      <w:lvlJc w:val="left"/>
      <w:pPr>
        <w:tabs>
          <w:tab w:val="left" w:pos="2460"/>
        </w:tabs>
        <w:ind w:left="2460" w:hanging="720"/>
      </w:pPr>
      <w:rPr>
        <w:rFonts w:hint="default"/>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4C5A65F0"/>
    <w:multiLevelType w:val="multilevel"/>
    <w:tmpl w:val="4C5A65F0"/>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4">
    <w:nsid w:val="4D6E43DC"/>
    <w:multiLevelType w:val="multilevel"/>
    <w:tmpl w:val="4D6E43D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1AE3AAC"/>
    <w:multiLevelType w:val="multilevel"/>
    <w:tmpl w:val="51AE3AAC"/>
    <w:lvl w:ilvl="0" w:tentative="0">
      <w:start w:val="1"/>
      <w:numFmt w:val="decimal"/>
      <w:lvlText w:val="%1、"/>
      <w:lvlJc w:val="left"/>
      <w:pPr>
        <w:tabs>
          <w:tab w:val="left" w:pos="840"/>
        </w:tabs>
        <w:ind w:left="840" w:hanging="420"/>
      </w:pPr>
      <w:rPr>
        <w:rFonts w:hint="eastAsia"/>
      </w:rPr>
    </w:lvl>
    <w:lvl w:ilvl="1" w:tentative="0">
      <w:start w:val="1"/>
      <w:numFmt w:val="chineseCountingThousand"/>
      <w:lvlText w:val="%2、"/>
      <w:lvlJc w:val="left"/>
      <w:pPr>
        <w:tabs>
          <w:tab w:val="left" w:pos="420"/>
        </w:tabs>
        <w:ind w:left="420" w:hanging="420"/>
      </w:pPr>
      <w:rPr>
        <w:rFonts w:hint="eastAsia"/>
        <w:lang w:val="en-US"/>
      </w:rPr>
    </w:lvl>
    <w:lvl w:ilvl="2" w:tentative="0">
      <w:start w:val="10"/>
      <w:numFmt w:val="chineseCountingThousand"/>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25C4A8A"/>
    <w:multiLevelType w:val="multilevel"/>
    <w:tmpl w:val="525C4A8A"/>
    <w:lvl w:ilvl="0" w:tentative="0">
      <w:start w:val="1"/>
      <w:numFmt w:val="chineseCountingThousand"/>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
    <w:nsid w:val="54452FC2"/>
    <w:multiLevelType w:val="multilevel"/>
    <w:tmpl w:val="54452FC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4A92EEE"/>
    <w:multiLevelType w:val="multilevel"/>
    <w:tmpl w:val="54A92EEE"/>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9">
    <w:nsid w:val="567D4331"/>
    <w:multiLevelType w:val="multilevel"/>
    <w:tmpl w:val="567D433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59D5102C"/>
    <w:multiLevelType w:val="multilevel"/>
    <w:tmpl w:val="59D510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E675925"/>
    <w:multiLevelType w:val="multilevel"/>
    <w:tmpl w:val="5E675925"/>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2">
    <w:nsid w:val="603A4D50"/>
    <w:multiLevelType w:val="multilevel"/>
    <w:tmpl w:val="603A4D50"/>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3">
    <w:nsid w:val="640D1F82"/>
    <w:multiLevelType w:val="multilevel"/>
    <w:tmpl w:val="640D1F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6D67805"/>
    <w:multiLevelType w:val="multilevel"/>
    <w:tmpl w:val="66D67805"/>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CE8BFB"/>
    <w:multiLevelType w:val="multilevel"/>
    <w:tmpl w:val="75CE8BFB"/>
    <w:lvl w:ilvl="0" w:tentative="0">
      <w:start w:val="1"/>
      <w:numFmt w:val="decimal"/>
      <w:lvlText w:val="%1."/>
      <w:lvlJc w:val="left"/>
      <w:pPr>
        <w:tabs>
          <w:tab w:val="left" w:pos="916"/>
        </w:tabs>
        <w:ind w:left="916" w:hanging="420"/>
      </w:pPr>
      <w:rPr>
        <w:rFonts w:hint="default"/>
      </w:rPr>
    </w:lvl>
    <w:lvl w:ilvl="1" w:tentative="0">
      <w:start w:val="1"/>
      <w:numFmt w:val="decimal"/>
      <w:lvlText w:val="%2."/>
      <w:lvlJc w:val="left"/>
      <w:pPr>
        <w:tabs>
          <w:tab w:val="left" w:pos="1635"/>
        </w:tabs>
        <w:ind w:left="1635" w:hanging="735"/>
      </w:pPr>
      <w:rPr>
        <w:rFonts w:hint="default"/>
      </w:rPr>
    </w:lvl>
    <w:lvl w:ilvl="2" w:tentative="0">
      <w:start w:val="4"/>
      <w:numFmt w:val="japaneseCounting"/>
      <w:lvlText w:val="%3、"/>
      <w:lvlJc w:val="left"/>
      <w:pPr>
        <w:tabs>
          <w:tab w:val="left" w:pos="1740"/>
        </w:tabs>
        <w:ind w:left="1740" w:hanging="420"/>
      </w:pPr>
      <w:rPr>
        <w:rFonts w:hint="default"/>
      </w:rPr>
    </w:lvl>
    <w:lvl w:ilvl="3" w:tentative="0">
      <w:start w:val="1"/>
      <w:numFmt w:val="decimal"/>
      <w:lvlText w:val="（%4）"/>
      <w:lvlJc w:val="left"/>
      <w:pPr>
        <w:tabs>
          <w:tab w:val="left" w:pos="2460"/>
        </w:tabs>
        <w:ind w:left="2460" w:hanging="720"/>
      </w:pPr>
      <w:rPr>
        <w:rFonts w:hint="default"/>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3"/>
  </w:num>
  <w:num w:numId="3">
    <w:abstractNumId w:val="16"/>
  </w:num>
  <w:num w:numId="4">
    <w:abstractNumId w:val="20"/>
  </w:num>
  <w:num w:numId="5">
    <w:abstractNumId w:val="12"/>
  </w:num>
  <w:num w:numId="6">
    <w:abstractNumId w:val="26"/>
  </w:num>
  <w:num w:numId="7">
    <w:abstractNumId w:val="11"/>
  </w:num>
  <w:num w:numId="8">
    <w:abstractNumId w:val="9"/>
  </w:num>
  <w:num w:numId="9">
    <w:abstractNumId w:val="6"/>
  </w:num>
  <w:num w:numId="10">
    <w:abstractNumId w:val="10"/>
  </w:num>
  <w:num w:numId="11">
    <w:abstractNumId w:val="25"/>
  </w:num>
  <w:num w:numId="12">
    <w:abstractNumId w:val="0"/>
  </w:num>
  <w:num w:numId="13">
    <w:abstractNumId w:val="5"/>
  </w:num>
  <w:num w:numId="14">
    <w:abstractNumId w:val="4"/>
  </w:num>
  <w:num w:numId="15">
    <w:abstractNumId w:val="1"/>
  </w:num>
  <w:num w:numId="16">
    <w:abstractNumId w:val="18"/>
  </w:num>
  <w:num w:numId="17">
    <w:abstractNumId w:val="8"/>
  </w:num>
  <w:num w:numId="18">
    <w:abstractNumId w:val="21"/>
  </w:num>
  <w:num w:numId="19">
    <w:abstractNumId w:val="24"/>
  </w:num>
  <w:num w:numId="20">
    <w:abstractNumId w:val="13"/>
  </w:num>
  <w:num w:numId="21">
    <w:abstractNumId w:val="2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15"/>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WY1ZjVlMWJmNmVmMmFmMzQyNmM3N2FmMzcxYWUifQ=="/>
  </w:docVars>
  <w:rsids>
    <w:rsidRoot w:val="7C8974D7"/>
    <w:rsid w:val="000042ED"/>
    <w:rsid w:val="000102EC"/>
    <w:rsid w:val="000104FD"/>
    <w:rsid w:val="00013828"/>
    <w:rsid w:val="00015049"/>
    <w:rsid w:val="00015251"/>
    <w:rsid w:val="00016136"/>
    <w:rsid w:val="00016509"/>
    <w:rsid w:val="0002041D"/>
    <w:rsid w:val="000236B1"/>
    <w:rsid w:val="0002631A"/>
    <w:rsid w:val="000264BC"/>
    <w:rsid w:val="00033657"/>
    <w:rsid w:val="00036C42"/>
    <w:rsid w:val="00045A8A"/>
    <w:rsid w:val="00051381"/>
    <w:rsid w:val="00051FB2"/>
    <w:rsid w:val="00055FCB"/>
    <w:rsid w:val="000613E8"/>
    <w:rsid w:val="0006462B"/>
    <w:rsid w:val="00066BB3"/>
    <w:rsid w:val="0007579C"/>
    <w:rsid w:val="000766E4"/>
    <w:rsid w:val="000774C4"/>
    <w:rsid w:val="00083E03"/>
    <w:rsid w:val="00085CD3"/>
    <w:rsid w:val="000862F9"/>
    <w:rsid w:val="00090CF9"/>
    <w:rsid w:val="00093177"/>
    <w:rsid w:val="00094A51"/>
    <w:rsid w:val="0009561C"/>
    <w:rsid w:val="0009711C"/>
    <w:rsid w:val="000972B5"/>
    <w:rsid w:val="000A4480"/>
    <w:rsid w:val="000A57E9"/>
    <w:rsid w:val="000A7624"/>
    <w:rsid w:val="000A77DC"/>
    <w:rsid w:val="000B003B"/>
    <w:rsid w:val="000B1F97"/>
    <w:rsid w:val="000B2A63"/>
    <w:rsid w:val="000B341B"/>
    <w:rsid w:val="000B343C"/>
    <w:rsid w:val="000B6607"/>
    <w:rsid w:val="000B6D1B"/>
    <w:rsid w:val="000B731E"/>
    <w:rsid w:val="000C3AB6"/>
    <w:rsid w:val="000C4893"/>
    <w:rsid w:val="000D0CF4"/>
    <w:rsid w:val="000D5286"/>
    <w:rsid w:val="000D547B"/>
    <w:rsid w:val="000E2A3F"/>
    <w:rsid w:val="000E43B3"/>
    <w:rsid w:val="000E4E80"/>
    <w:rsid w:val="000E6A63"/>
    <w:rsid w:val="000E716D"/>
    <w:rsid w:val="000F08AC"/>
    <w:rsid w:val="000F0FAC"/>
    <w:rsid w:val="000F1D8B"/>
    <w:rsid w:val="000F5938"/>
    <w:rsid w:val="000F7D18"/>
    <w:rsid w:val="00101F9A"/>
    <w:rsid w:val="00105E77"/>
    <w:rsid w:val="00105FDF"/>
    <w:rsid w:val="00110781"/>
    <w:rsid w:val="0011301C"/>
    <w:rsid w:val="00113942"/>
    <w:rsid w:val="00113B19"/>
    <w:rsid w:val="00125040"/>
    <w:rsid w:val="001276C3"/>
    <w:rsid w:val="00133469"/>
    <w:rsid w:val="00133997"/>
    <w:rsid w:val="00134970"/>
    <w:rsid w:val="00136F1E"/>
    <w:rsid w:val="00137038"/>
    <w:rsid w:val="0013734C"/>
    <w:rsid w:val="001378F3"/>
    <w:rsid w:val="0014158D"/>
    <w:rsid w:val="0014308C"/>
    <w:rsid w:val="00144F1D"/>
    <w:rsid w:val="0014554F"/>
    <w:rsid w:val="0014648A"/>
    <w:rsid w:val="00150A4A"/>
    <w:rsid w:val="00153D0E"/>
    <w:rsid w:val="001603CB"/>
    <w:rsid w:val="001608E5"/>
    <w:rsid w:val="00161102"/>
    <w:rsid w:val="00165CDD"/>
    <w:rsid w:val="0016693A"/>
    <w:rsid w:val="00170D4A"/>
    <w:rsid w:val="00170E2A"/>
    <w:rsid w:val="0017192C"/>
    <w:rsid w:val="00172804"/>
    <w:rsid w:val="00174295"/>
    <w:rsid w:val="00180466"/>
    <w:rsid w:val="00181792"/>
    <w:rsid w:val="00186CCE"/>
    <w:rsid w:val="0019049E"/>
    <w:rsid w:val="00193112"/>
    <w:rsid w:val="00195B9D"/>
    <w:rsid w:val="0019626B"/>
    <w:rsid w:val="0019643A"/>
    <w:rsid w:val="001A1C52"/>
    <w:rsid w:val="001A2191"/>
    <w:rsid w:val="001A2786"/>
    <w:rsid w:val="001A4B20"/>
    <w:rsid w:val="001A6DED"/>
    <w:rsid w:val="001A74BB"/>
    <w:rsid w:val="001B20D7"/>
    <w:rsid w:val="001B6D33"/>
    <w:rsid w:val="001C0D78"/>
    <w:rsid w:val="001C2978"/>
    <w:rsid w:val="001C2D51"/>
    <w:rsid w:val="001C30A7"/>
    <w:rsid w:val="001C3114"/>
    <w:rsid w:val="001C4CA3"/>
    <w:rsid w:val="001C4D1C"/>
    <w:rsid w:val="001D05CA"/>
    <w:rsid w:val="001D25F9"/>
    <w:rsid w:val="001D4486"/>
    <w:rsid w:val="001D4BA6"/>
    <w:rsid w:val="001D5208"/>
    <w:rsid w:val="001E51F3"/>
    <w:rsid w:val="001E5BD3"/>
    <w:rsid w:val="001E6C76"/>
    <w:rsid w:val="001F2680"/>
    <w:rsid w:val="001F2D33"/>
    <w:rsid w:val="001F5C44"/>
    <w:rsid w:val="00202C9E"/>
    <w:rsid w:val="00205EB1"/>
    <w:rsid w:val="00207CEF"/>
    <w:rsid w:val="002121B2"/>
    <w:rsid w:val="00213E06"/>
    <w:rsid w:val="00214413"/>
    <w:rsid w:val="0021448E"/>
    <w:rsid w:val="0021726A"/>
    <w:rsid w:val="00220F24"/>
    <w:rsid w:val="00220F7B"/>
    <w:rsid w:val="00224C15"/>
    <w:rsid w:val="002270B1"/>
    <w:rsid w:val="00227400"/>
    <w:rsid w:val="00231495"/>
    <w:rsid w:val="00231783"/>
    <w:rsid w:val="00232113"/>
    <w:rsid w:val="00233101"/>
    <w:rsid w:val="00234336"/>
    <w:rsid w:val="00237C0D"/>
    <w:rsid w:val="00240DCB"/>
    <w:rsid w:val="00242035"/>
    <w:rsid w:val="0024219D"/>
    <w:rsid w:val="00242888"/>
    <w:rsid w:val="00242DA5"/>
    <w:rsid w:val="00245662"/>
    <w:rsid w:val="002469DC"/>
    <w:rsid w:val="00247AAA"/>
    <w:rsid w:val="0025013C"/>
    <w:rsid w:val="00253061"/>
    <w:rsid w:val="002605D2"/>
    <w:rsid w:val="00260932"/>
    <w:rsid w:val="00260BCF"/>
    <w:rsid w:val="00260E0B"/>
    <w:rsid w:val="00263A17"/>
    <w:rsid w:val="002641AD"/>
    <w:rsid w:val="00274569"/>
    <w:rsid w:val="002749F5"/>
    <w:rsid w:val="002773CE"/>
    <w:rsid w:val="00277FD2"/>
    <w:rsid w:val="002825AD"/>
    <w:rsid w:val="002825AE"/>
    <w:rsid w:val="00282A12"/>
    <w:rsid w:val="00283F21"/>
    <w:rsid w:val="0028524D"/>
    <w:rsid w:val="00292902"/>
    <w:rsid w:val="002931B1"/>
    <w:rsid w:val="002A0DBF"/>
    <w:rsid w:val="002A19CD"/>
    <w:rsid w:val="002A7DDC"/>
    <w:rsid w:val="002B0C5B"/>
    <w:rsid w:val="002B23BD"/>
    <w:rsid w:val="002B306A"/>
    <w:rsid w:val="002B3166"/>
    <w:rsid w:val="002B3358"/>
    <w:rsid w:val="002B6B13"/>
    <w:rsid w:val="002B6EBC"/>
    <w:rsid w:val="002B7F52"/>
    <w:rsid w:val="002C0EB4"/>
    <w:rsid w:val="002C3165"/>
    <w:rsid w:val="002C3C35"/>
    <w:rsid w:val="002C71BC"/>
    <w:rsid w:val="002D31B5"/>
    <w:rsid w:val="002D39F4"/>
    <w:rsid w:val="002D42F6"/>
    <w:rsid w:val="002D5F8A"/>
    <w:rsid w:val="002D6F27"/>
    <w:rsid w:val="002D7734"/>
    <w:rsid w:val="002E3459"/>
    <w:rsid w:val="002E3D2B"/>
    <w:rsid w:val="002F030C"/>
    <w:rsid w:val="002F37D8"/>
    <w:rsid w:val="002F3F61"/>
    <w:rsid w:val="002F7318"/>
    <w:rsid w:val="003027D1"/>
    <w:rsid w:val="00307DA5"/>
    <w:rsid w:val="00311DA4"/>
    <w:rsid w:val="00314442"/>
    <w:rsid w:val="00314ADD"/>
    <w:rsid w:val="00314C8C"/>
    <w:rsid w:val="003152FB"/>
    <w:rsid w:val="003201CB"/>
    <w:rsid w:val="0032148A"/>
    <w:rsid w:val="003242F9"/>
    <w:rsid w:val="00330B60"/>
    <w:rsid w:val="00331D81"/>
    <w:rsid w:val="00342982"/>
    <w:rsid w:val="003431DC"/>
    <w:rsid w:val="00344A1B"/>
    <w:rsid w:val="00350A9F"/>
    <w:rsid w:val="003533D0"/>
    <w:rsid w:val="00367D54"/>
    <w:rsid w:val="00372477"/>
    <w:rsid w:val="00372744"/>
    <w:rsid w:val="0038086E"/>
    <w:rsid w:val="00383AF7"/>
    <w:rsid w:val="003841CE"/>
    <w:rsid w:val="00385481"/>
    <w:rsid w:val="003A605E"/>
    <w:rsid w:val="003A76FA"/>
    <w:rsid w:val="003B254B"/>
    <w:rsid w:val="003B39FB"/>
    <w:rsid w:val="003B4407"/>
    <w:rsid w:val="003B4B4E"/>
    <w:rsid w:val="003C12CD"/>
    <w:rsid w:val="003C3F6F"/>
    <w:rsid w:val="003C4CEB"/>
    <w:rsid w:val="003C5292"/>
    <w:rsid w:val="003C53D7"/>
    <w:rsid w:val="003C671A"/>
    <w:rsid w:val="003D0359"/>
    <w:rsid w:val="003D1D97"/>
    <w:rsid w:val="003D36F6"/>
    <w:rsid w:val="003D37D7"/>
    <w:rsid w:val="003D3E5F"/>
    <w:rsid w:val="003D4694"/>
    <w:rsid w:val="003E1601"/>
    <w:rsid w:val="003E4D89"/>
    <w:rsid w:val="003E648B"/>
    <w:rsid w:val="003E715C"/>
    <w:rsid w:val="003F0825"/>
    <w:rsid w:val="003F1098"/>
    <w:rsid w:val="003F52C4"/>
    <w:rsid w:val="003F66FE"/>
    <w:rsid w:val="003F6748"/>
    <w:rsid w:val="003F7496"/>
    <w:rsid w:val="00401A83"/>
    <w:rsid w:val="00403598"/>
    <w:rsid w:val="00405A78"/>
    <w:rsid w:val="00413208"/>
    <w:rsid w:val="004138F5"/>
    <w:rsid w:val="00413A6F"/>
    <w:rsid w:val="004232E7"/>
    <w:rsid w:val="004242F6"/>
    <w:rsid w:val="004269EC"/>
    <w:rsid w:val="0043116E"/>
    <w:rsid w:val="00431440"/>
    <w:rsid w:val="00436068"/>
    <w:rsid w:val="00436BF7"/>
    <w:rsid w:val="00437AA9"/>
    <w:rsid w:val="004401CC"/>
    <w:rsid w:val="00440A27"/>
    <w:rsid w:val="00442391"/>
    <w:rsid w:val="004532C0"/>
    <w:rsid w:val="00454A8C"/>
    <w:rsid w:val="00460667"/>
    <w:rsid w:val="004629EB"/>
    <w:rsid w:val="00462B90"/>
    <w:rsid w:val="004665B4"/>
    <w:rsid w:val="00471A82"/>
    <w:rsid w:val="00471B29"/>
    <w:rsid w:val="004724A7"/>
    <w:rsid w:val="0047577F"/>
    <w:rsid w:val="004761DA"/>
    <w:rsid w:val="004770AC"/>
    <w:rsid w:val="00477E26"/>
    <w:rsid w:val="00480A0B"/>
    <w:rsid w:val="004810C1"/>
    <w:rsid w:val="0048341F"/>
    <w:rsid w:val="00483766"/>
    <w:rsid w:val="004840BB"/>
    <w:rsid w:val="00485CED"/>
    <w:rsid w:val="004870B2"/>
    <w:rsid w:val="00490F71"/>
    <w:rsid w:val="00491556"/>
    <w:rsid w:val="004948B1"/>
    <w:rsid w:val="004A302C"/>
    <w:rsid w:val="004A65D4"/>
    <w:rsid w:val="004A7C8A"/>
    <w:rsid w:val="004B36B4"/>
    <w:rsid w:val="004B4E3D"/>
    <w:rsid w:val="004B6182"/>
    <w:rsid w:val="004B6937"/>
    <w:rsid w:val="004C5017"/>
    <w:rsid w:val="004D0CFE"/>
    <w:rsid w:val="004E1F68"/>
    <w:rsid w:val="004E5042"/>
    <w:rsid w:val="004E6F1F"/>
    <w:rsid w:val="004F3C43"/>
    <w:rsid w:val="004F433F"/>
    <w:rsid w:val="004F4AA4"/>
    <w:rsid w:val="004F4AE8"/>
    <w:rsid w:val="004F63DC"/>
    <w:rsid w:val="004F6837"/>
    <w:rsid w:val="004F79CA"/>
    <w:rsid w:val="00500326"/>
    <w:rsid w:val="00506163"/>
    <w:rsid w:val="005067CF"/>
    <w:rsid w:val="00510055"/>
    <w:rsid w:val="005126BD"/>
    <w:rsid w:val="00524424"/>
    <w:rsid w:val="00526865"/>
    <w:rsid w:val="005268E1"/>
    <w:rsid w:val="00530959"/>
    <w:rsid w:val="005328AE"/>
    <w:rsid w:val="00533462"/>
    <w:rsid w:val="00535BAF"/>
    <w:rsid w:val="005369A8"/>
    <w:rsid w:val="00543496"/>
    <w:rsid w:val="00544556"/>
    <w:rsid w:val="0054475D"/>
    <w:rsid w:val="0054479D"/>
    <w:rsid w:val="00555003"/>
    <w:rsid w:val="00557B3D"/>
    <w:rsid w:val="005646F5"/>
    <w:rsid w:val="00565868"/>
    <w:rsid w:val="00570BB6"/>
    <w:rsid w:val="00571719"/>
    <w:rsid w:val="00572AE4"/>
    <w:rsid w:val="00573608"/>
    <w:rsid w:val="0057367B"/>
    <w:rsid w:val="0058195F"/>
    <w:rsid w:val="00584A0C"/>
    <w:rsid w:val="00590563"/>
    <w:rsid w:val="00593436"/>
    <w:rsid w:val="005942F8"/>
    <w:rsid w:val="005962C2"/>
    <w:rsid w:val="00596D34"/>
    <w:rsid w:val="00596F89"/>
    <w:rsid w:val="005A02F3"/>
    <w:rsid w:val="005A0D20"/>
    <w:rsid w:val="005A1668"/>
    <w:rsid w:val="005B697E"/>
    <w:rsid w:val="005C1DE2"/>
    <w:rsid w:val="005C45AB"/>
    <w:rsid w:val="005C6625"/>
    <w:rsid w:val="005C6EEF"/>
    <w:rsid w:val="005D192E"/>
    <w:rsid w:val="005E2AE2"/>
    <w:rsid w:val="005E3C72"/>
    <w:rsid w:val="005E64B1"/>
    <w:rsid w:val="005E6E41"/>
    <w:rsid w:val="005F17D5"/>
    <w:rsid w:val="005F2F39"/>
    <w:rsid w:val="005F3322"/>
    <w:rsid w:val="005F5FED"/>
    <w:rsid w:val="00600141"/>
    <w:rsid w:val="006015D8"/>
    <w:rsid w:val="00604012"/>
    <w:rsid w:val="00604D38"/>
    <w:rsid w:val="0060718D"/>
    <w:rsid w:val="006100A4"/>
    <w:rsid w:val="006110CA"/>
    <w:rsid w:val="00614927"/>
    <w:rsid w:val="00617409"/>
    <w:rsid w:val="00617BA6"/>
    <w:rsid w:val="00620D26"/>
    <w:rsid w:val="0062232D"/>
    <w:rsid w:val="00626D06"/>
    <w:rsid w:val="00630D70"/>
    <w:rsid w:val="00632126"/>
    <w:rsid w:val="00635A54"/>
    <w:rsid w:val="00636747"/>
    <w:rsid w:val="00636A6E"/>
    <w:rsid w:val="0064066A"/>
    <w:rsid w:val="00643A93"/>
    <w:rsid w:val="006514FC"/>
    <w:rsid w:val="00651D22"/>
    <w:rsid w:val="00653AC2"/>
    <w:rsid w:val="00655CE2"/>
    <w:rsid w:val="00656AAB"/>
    <w:rsid w:val="0066065F"/>
    <w:rsid w:val="00661C19"/>
    <w:rsid w:val="00663018"/>
    <w:rsid w:val="006634B9"/>
    <w:rsid w:val="00663755"/>
    <w:rsid w:val="006644F3"/>
    <w:rsid w:val="0066599C"/>
    <w:rsid w:val="00666554"/>
    <w:rsid w:val="0067361C"/>
    <w:rsid w:val="00674973"/>
    <w:rsid w:val="00676B0B"/>
    <w:rsid w:val="006815DF"/>
    <w:rsid w:val="0068280B"/>
    <w:rsid w:val="00682896"/>
    <w:rsid w:val="006848F7"/>
    <w:rsid w:val="0068710E"/>
    <w:rsid w:val="00690859"/>
    <w:rsid w:val="006913C0"/>
    <w:rsid w:val="0069442C"/>
    <w:rsid w:val="00694E1D"/>
    <w:rsid w:val="0069508C"/>
    <w:rsid w:val="00695399"/>
    <w:rsid w:val="006967FF"/>
    <w:rsid w:val="006A1A3C"/>
    <w:rsid w:val="006A261B"/>
    <w:rsid w:val="006A308A"/>
    <w:rsid w:val="006A3507"/>
    <w:rsid w:val="006A6F66"/>
    <w:rsid w:val="006B2287"/>
    <w:rsid w:val="006B249E"/>
    <w:rsid w:val="006B4D65"/>
    <w:rsid w:val="006B6FD5"/>
    <w:rsid w:val="006C31C3"/>
    <w:rsid w:val="006C50EB"/>
    <w:rsid w:val="006C72B1"/>
    <w:rsid w:val="006C7DE1"/>
    <w:rsid w:val="006D594F"/>
    <w:rsid w:val="006E1B20"/>
    <w:rsid w:val="006E50CB"/>
    <w:rsid w:val="006F056C"/>
    <w:rsid w:val="006F06D2"/>
    <w:rsid w:val="006F1108"/>
    <w:rsid w:val="006F1513"/>
    <w:rsid w:val="006F2C5C"/>
    <w:rsid w:val="006F4CFC"/>
    <w:rsid w:val="006F5950"/>
    <w:rsid w:val="006F5AD7"/>
    <w:rsid w:val="006F74E2"/>
    <w:rsid w:val="006F7879"/>
    <w:rsid w:val="00701FCB"/>
    <w:rsid w:val="007029AF"/>
    <w:rsid w:val="00702C83"/>
    <w:rsid w:val="00704E03"/>
    <w:rsid w:val="00705449"/>
    <w:rsid w:val="00707553"/>
    <w:rsid w:val="00710112"/>
    <w:rsid w:val="0071065B"/>
    <w:rsid w:val="0071753E"/>
    <w:rsid w:val="00721A3C"/>
    <w:rsid w:val="00730F3B"/>
    <w:rsid w:val="0073572D"/>
    <w:rsid w:val="0073635F"/>
    <w:rsid w:val="00740449"/>
    <w:rsid w:val="007415FD"/>
    <w:rsid w:val="00743095"/>
    <w:rsid w:val="00744F52"/>
    <w:rsid w:val="00746315"/>
    <w:rsid w:val="00751361"/>
    <w:rsid w:val="007658DF"/>
    <w:rsid w:val="007678D8"/>
    <w:rsid w:val="00767F96"/>
    <w:rsid w:val="007706E0"/>
    <w:rsid w:val="00781F8C"/>
    <w:rsid w:val="00792409"/>
    <w:rsid w:val="00792AB3"/>
    <w:rsid w:val="007944CC"/>
    <w:rsid w:val="00794754"/>
    <w:rsid w:val="00795766"/>
    <w:rsid w:val="007A3A7C"/>
    <w:rsid w:val="007A4B25"/>
    <w:rsid w:val="007B4325"/>
    <w:rsid w:val="007B4DCA"/>
    <w:rsid w:val="007C21B0"/>
    <w:rsid w:val="007C36C5"/>
    <w:rsid w:val="007D22A5"/>
    <w:rsid w:val="007D6950"/>
    <w:rsid w:val="007E082D"/>
    <w:rsid w:val="007E2256"/>
    <w:rsid w:val="007E40C0"/>
    <w:rsid w:val="007E500D"/>
    <w:rsid w:val="007F0E9E"/>
    <w:rsid w:val="007F107B"/>
    <w:rsid w:val="007F25C1"/>
    <w:rsid w:val="007F3966"/>
    <w:rsid w:val="007F5274"/>
    <w:rsid w:val="00800AEB"/>
    <w:rsid w:val="00800DE0"/>
    <w:rsid w:val="00801B6B"/>
    <w:rsid w:val="008027A2"/>
    <w:rsid w:val="00803D2F"/>
    <w:rsid w:val="00804114"/>
    <w:rsid w:val="00804A66"/>
    <w:rsid w:val="008066D6"/>
    <w:rsid w:val="008074E4"/>
    <w:rsid w:val="00807E49"/>
    <w:rsid w:val="0081258B"/>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1D"/>
    <w:rsid w:val="00837930"/>
    <w:rsid w:val="00841C91"/>
    <w:rsid w:val="00842100"/>
    <w:rsid w:val="008445B2"/>
    <w:rsid w:val="0085592D"/>
    <w:rsid w:val="00855A62"/>
    <w:rsid w:val="00857126"/>
    <w:rsid w:val="00861129"/>
    <w:rsid w:val="0086129A"/>
    <w:rsid w:val="008624B1"/>
    <w:rsid w:val="008625BA"/>
    <w:rsid w:val="0087159A"/>
    <w:rsid w:val="008715EE"/>
    <w:rsid w:val="008729FE"/>
    <w:rsid w:val="00876D7D"/>
    <w:rsid w:val="0088116E"/>
    <w:rsid w:val="008811DC"/>
    <w:rsid w:val="00882005"/>
    <w:rsid w:val="00882477"/>
    <w:rsid w:val="00882EA4"/>
    <w:rsid w:val="00883AAF"/>
    <w:rsid w:val="008867C0"/>
    <w:rsid w:val="008872F3"/>
    <w:rsid w:val="00890D88"/>
    <w:rsid w:val="00892010"/>
    <w:rsid w:val="008931FF"/>
    <w:rsid w:val="0089793A"/>
    <w:rsid w:val="008A436A"/>
    <w:rsid w:val="008A5BD6"/>
    <w:rsid w:val="008A5F22"/>
    <w:rsid w:val="008B4FF0"/>
    <w:rsid w:val="008B7034"/>
    <w:rsid w:val="008C064E"/>
    <w:rsid w:val="008C1281"/>
    <w:rsid w:val="008C4886"/>
    <w:rsid w:val="008C4BAA"/>
    <w:rsid w:val="008C7CD0"/>
    <w:rsid w:val="008D0778"/>
    <w:rsid w:val="008D4878"/>
    <w:rsid w:val="008D6572"/>
    <w:rsid w:val="008D6ABD"/>
    <w:rsid w:val="008D702C"/>
    <w:rsid w:val="008E00BA"/>
    <w:rsid w:val="008E3517"/>
    <w:rsid w:val="008E394F"/>
    <w:rsid w:val="008E49DB"/>
    <w:rsid w:val="008F1EE9"/>
    <w:rsid w:val="008F2702"/>
    <w:rsid w:val="008F29D6"/>
    <w:rsid w:val="008F4DA8"/>
    <w:rsid w:val="008F6494"/>
    <w:rsid w:val="008F779D"/>
    <w:rsid w:val="008F7DC2"/>
    <w:rsid w:val="00901E9F"/>
    <w:rsid w:val="00904CD0"/>
    <w:rsid w:val="00906CB6"/>
    <w:rsid w:val="00911C4B"/>
    <w:rsid w:val="00912F5D"/>
    <w:rsid w:val="00913FC5"/>
    <w:rsid w:val="00922B8E"/>
    <w:rsid w:val="009247DD"/>
    <w:rsid w:val="00925998"/>
    <w:rsid w:val="009328F8"/>
    <w:rsid w:val="00936C3A"/>
    <w:rsid w:val="00937699"/>
    <w:rsid w:val="00940900"/>
    <w:rsid w:val="00942690"/>
    <w:rsid w:val="00942DFA"/>
    <w:rsid w:val="0094475C"/>
    <w:rsid w:val="00944EB8"/>
    <w:rsid w:val="00945F9F"/>
    <w:rsid w:val="0094776C"/>
    <w:rsid w:val="009517AD"/>
    <w:rsid w:val="00952067"/>
    <w:rsid w:val="0095776B"/>
    <w:rsid w:val="00960103"/>
    <w:rsid w:val="00960AA2"/>
    <w:rsid w:val="0096103D"/>
    <w:rsid w:val="00962723"/>
    <w:rsid w:val="009635C0"/>
    <w:rsid w:val="00970F06"/>
    <w:rsid w:val="00976CAB"/>
    <w:rsid w:val="009802D5"/>
    <w:rsid w:val="009855BD"/>
    <w:rsid w:val="00986383"/>
    <w:rsid w:val="00993706"/>
    <w:rsid w:val="00995BEA"/>
    <w:rsid w:val="009960A1"/>
    <w:rsid w:val="009979FE"/>
    <w:rsid w:val="009A0012"/>
    <w:rsid w:val="009A35EC"/>
    <w:rsid w:val="009A3F15"/>
    <w:rsid w:val="009B1710"/>
    <w:rsid w:val="009B243D"/>
    <w:rsid w:val="009B24A6"/>
    <w:rsid w:val="009B3464"/>
    <w:rsid w:val="009B3E39"/>
    <w:rsid w:val="009B3E9D"/>
    <w:rsid w:val="009B3FC2"/>
    <w:rsid w:val="009B485E"/>
    <w:rsid w:val="009B50F4"/>
    <w:rsid w:val="009C0B7A"/>
    <w:rsid w:val="009C1038"/>
    <w:rsid w:val="009C13B1"/>
    <w:rsid w:val="009C558E"/>
    <w:rsid w:val="009C6A0A"/>
    <w:rsid w:val="009D0688"/>
    <w:rsid w:val="009D161D"/>
    <w:rsid w:val="009D183E"/>
    <w:rsid w:val="009D2CD1"/>
    <w:rsid w:val="009D7D64"/>
    <w:rsid w:val="009E1802"/>
    <w:rsid w:val="009E2083"/>
    <w:rsid w:val="009E3914"/>
    <w:rsid w:val="009F0048"/>
    <w:rsid w:val="009F0713"/>
    <w:rsid w:val="009F656A"/>
    <w:rsid w:val="00A022F2"/>
    <w:rsid w:val="00A032BD"/>
    <w:rsid w:val="00A051AA"/>
    <w:rsid w:val="00A057E7"/>
    <w:rsid w:val="00A065F8"/>
    <w:rsid w:val="00A06D11"/>
    <w:rsid w:val="00A079A6"/>
    <w:rsid w:val="00A114D5"/>
    <w:rsid w:val="00A11CEC"/>
    <w:rsid w:val="00A21840"/>
    <w:rsid w:val="00A2319E"/>
    <w:rsid w:val="00A23A39"/>
    <w:rsid w:val="00A2535C"/>
    <w:rsid w:val="00A272E4"/>
    <w:rsid w:val="00A319A2"/>
    <w:rsid w:val="00A345B7"/>
    <w:rsid w:val="00A35976"/>
    <w:rsid w:val="00A36546"/>
    <w:rsid w:val="00A36686"/>
    <w:rsid w:val="00A436B0"/>
    <w:rsid w:val="00A46708"/>
    <w:rsid w:val="00A53537"/>
    <w:rsid w:val="00A576C0"/>
    <w:rsid w:val="00A61C2B"/>
    <w:rsid w:val="00A65C7A"/>
    <w:rsid w:val="00A6721C"/>
    <w:rsid w:val="00A6786E"/>
    <w:rsid w:val="00A67D51"/>
    <w:rsid w:val="00A7192C"/>
    <w:rsid w:val="00A71F98"/>
    <w:rsid w:val="00A72F57"/>
    <w:rsid w:val="00A74CC7"/>
    <w:rsid w:val="00A7709D"/>
    <w:rsid w:val="00A77FD6"/>
    <w:rsid w:val="00A820C9"/>
    <w:rsid w:val="00A84241"/>
    <w:rsid w:val="00A84759"/>
    <w:rsid w:val="00A85DAB"/>
    <w:rsid w:val="00A86FD2"/>
    <w:rsid w:val="00A91B5E"/>
    <w:rsid w:val="00A91D02"/>
    <w:rsid w:val="00A931A7"/>
    <w:rsid w:val="00A95F06"/>
    <w:rsid w:val="00A9617F"/>
    <w:rsid w:val="00AA00EB"/>
    <w:rsid w:val="00AA2B8C"/>
    <w:rsid w:val="00AA3AF3"/>
    <w:rsid w:val="00AA49EC"/>
    <w:rsid w:val="00AA775E"/>
    <w:rsid w:val="00AB04DB"/>
    <w:rsid w:val="00AB1299"/>
    <w:rsid w:val="00AB4A5B"/>
    <w:rsid w:val="00AB7E77"/>
    <w:rsid w:val="00AC045F"/>
    <w:rsid w:val="00AC1209"/>
    <w:rsid w:val="00AC1A1A"/>
    <w:rsid w:val="00AC25D0"/>
    <w:rsid w:val="00AC7328"/>
    <w:rsid w:val="00AC7D5A"/>
    <w:rsid w:val="00AD2803"/>
    <w:rsid w:val="00AD2949"/>
    <w:rsid w:val="00AE278B"/>
    <w:rsid w:val="00AE2BE1"/>
    <w:rsid w:val="00AE3D96"/>
    <w:rsid w:val="00AE6CEA"/>
    <w:rsid w:val="00AF0D6F"/>
    <w:rsid w:val="00AF2C44"/>
    <w:rsid w:val="00AF3641"/>
    <w:rsid w:val="00AF60CE"/>
    <w:rsid w:val="00AF6376"/>
    <w:rsid w:val="00AF75D8"/>
    <w:rsid w:val="00B04D5E"/>
    <w:rsid w:val="00B05E99"/>
    <w:rsid w:val="00B07B76"/>
    <w:rsid w:val="00B12BD8"/>
    <w:rsid w:val="00B1337A"/>
    <w:rsid w:val="00B218E8"/>
    <w:rsid w:val="00B23975"/>
    <w:rsid w:val="00B2683F"/>
    <w:rsid w:val="00B31099"/>
    <w:rsid w:val="00B34B2E"/>
    <w:rsid w:val="00B3532D"/>
    <w:rsid w:val="00B35B32"/>
    <w:rsid w:val="00B40AA6"/>
    <w:rsid w:val="00B43AA7"/>
    <w:rsid w:val="00B43ADD"/>
    <w:rsid w:val="00B43F2B"/>
    <w:rsid w:val="00B45EB2"/>
    <w:rsid w:val="00B51263"/>
    <w:rsid w:val="00B54A15"/>
    <w:rsid w:val="00B566B2"/>
    <w:rsid w:val="00B66028"/>
    <w:rsid w:val="00B66555"/>
    <w:rsid w:val="00B67B5D"/>
    <w:rsid w:val="00B719CC"/>
    <w:rsid w:val="00B75785"/>
    <w:rsid w:val="00B7623C"/>
    <w:rsid w:val="00B809B0"/>
    <w:rsid w:val="00B8146F"/>
    <w:rsid w:val="00B814F7"/>
    <w:rsid w:val="00B82793"/>
    <w:rsid w:val="00B83D5C"/>
    <w:rsid w:val="00B85D19"/>
    <w:rsid w:val="00B86A55"/>
    <w:rsid w:val="00B9022A"/>
    <w:rsid w:val="00B9411F"/>
    <w:rsid w:val="00B947E7"/>
    <w:rsid w:val="00B958B2"/>
    <w:rsid w:val="00BA0B0E"/>
    <w:rsid w:val="00BA0D26"/>
    <w:rsid w:val="00BA15A8"/>
    <w:rsid w:val="00BA1FD3"/>
    <w:rsid w:val="00BA279B"/>
    <w:rsid w:val="00BA44B5"/>
    <w:rsid w:val="00BA5168"/>
    <w:rsid w:val="00BA5FA1"/>
    <w:rsid w:val="00BA7839"/>
    <w:rsid w:val="00BA7CEE"/>
    <w:rsid w:val="00BB1B0F"/>
    <w:rsid w:val="00BB1D7C"/>
    <w:rsid w:val="00BB23B5"/>
    <w:rsid w:val="00BB3B32"/>
    <w:rsid w:val="00BB3F1E"/>
    <w:rsid w:val="00BB70B9"/>
    <w:rsid w:val="00BC2BB5"/>
    <w:rsid w:val="00BC3BEC"/>
    <w:rsid w:val="00BC4C42"/>
    <w:rsid w:val="00BC7424"/>
    <w:rsid w:val="00BD25BE"/>
    <w:rsid w:val="00BD3884"/>
    <w:rsid w:val="00BD39A0"/>
    <w:rsid w:val="00BD4786"/>
    <w:rsid w:val="00BD5EAD"/>
    <w:rsid w:val="00BE1FA7"/>
    <w:rsid w:val="00BE39F7"/>
    <w:rsid w:val="00BE3CD2"/>
    <w:rsid w:val="00BF0FC1"/>
    <w:rsid w:val="00BF0FE5"/>
    <w:rsid w:val="00BF4732"/>
    <w:rsid w:val="00BF7887"/>
    <w:rsid w:val="00BF7D68"/>
    <w:rsid w:val="00C00AD4"/>
    <w:rsid w:val="00C053F7"/>
    <w:rsid w:val="00C103D7"/>
    <w:rsid w:val="00C107F5"/>
    <w:rsid w:val="00C15A05"/>
    <w:rsid w:val="00C15DAB"/>
    <w:rsid w:val="00C20DBC"/>
    <w:rsid w:val="00C23617"/>
    <w:rsid w:val="00C25454"/>
    <w:rsid w:val="00C267D5"/>
    <w:rsid w:val="00C26EC3"/>
    <w:rsid w:val="00C354F1"/>
    <w:rsid w:val="00C36532"/>
    <w:rsid w:val="00C424CD"/>
    <w:rsid w:val="00C459D3"/>
    <w:rsid w:val="00C4682E"/>
    <w:rsid w:val="00C47E35"/>
    <w:rsid w:val="00C47F0E"/>
    <w:rsid w:val="00C50549"/>
    <w:rsid w:val="00C50BEF"/>
    <w:rsid w:val="00C52FF1"/>
    <w:rsid w:val="00C532BC"/>
    <w:rsid w:val="00C54B8E"/>
    <w:rsid w:val="00C56307"/>
    <w:rsid w:val="00C56EDE"/>
    <w:rsid w:val="00C609B8"/>
    <w:rsid w:val="00C613FB"/>
    <w:rsid w:val="00C638B8"/>
    <w:rsid w:val="00C65312"/>
    <w:rsid w:val="00C65E74"/>
    <w:rsid w:val="00C72550"/>
    <w:rsid w:val="00C748EA"/>
    <w:rsid w:val="00C7640D"/>
    <w:rsid w:val="00C7666C"/>
    <w:rsid w:val="00C77D44"/>
    <w:rsid w:val="00C82310"/>
    <w:rsid w:val="00C83009"/>
    <w:rsid w:val="00C85B58"/>
    <w:rsid w:val="00C8702A"/>
    <w:rsid w:val="00C8788C"/>
    <w:rsid w:val="00C8789E"/>
    <w:rsid w:val="00C90A36"/>
    <w:rsid w:val="00C90A5B"/>
    <w:rsid w:val="00C934D3"/>
    <w:rsid w:val="00C94EBE"/>
    <w:rsid w:val="00CA1166"/>
    <w:rsid w:val="00CA3303"/>
    <w:rsid w:val="00CA6C13"/>
    <w:rsid w:val="00CB1714"/>
    <w:rsid w:val="00CB18DB"/>
    <w:rsid w:val="00CB5528"/>
    <w:rsid w:val="00CC08C8"/>
    <w:rsid w:val="00CC0CDA"/>
    <w:rsid w:val="00CC234E"/>
    <w:rsid w:val="00CC3435"/>
    <w:rsid w:val="00CC66A1"/>
    <w:rsid w:val="00CD5CCE"/>
    <w:rsid w:val="00CD622D"/>
    <w:rsid w:val="00CE397A"/>
    <w:rsid w:val="00CE523A"/>
    <w:rsid w:val="00CE77B2"/>
    <w:rsid w:val="00CF100B"/>
    <w:rsid w:val="00CF2338"/>
    <w:rsid w:val="00CF6D58"/>
    <w:rsid w:val="00D009B5"/>
    <w:rsid w:val="00D013E7"/>
    <w:rsid w:val="00D02942"/>
    <w:rsid w:val="00D10FC5"/>
    <w:rsid w:val="00D1549F"/>
    <w:rsid w:val="00D1561D"/>
    <w:rsid w:val="00D2090E"/>
    <w:rsid w:val="00D2173A"/>
    <w:rsid w:val="00D2215C"/>
    <w:rsid w:val="00D22C4B"/>
    <w:rsid w:val="00D344D6"/>
    <w:rsid w:val="00D363BF"/>
    <w:rsid w:val="00D372FB"/>
    <w:rsid w:val="00D4589D"/>
    <w:rsid w:val="00D45A52"/>
    <w:rsid w:val="00D47246"/>
    <w:rsid w:val="00D476F6"/>
    <w:rsid w:val="00D50817"/>
    <w:rsid w:val="00D51437"/>
    <w:rsid w:val="00D54BA7"/>
    <w:rsid w:val="00D56567"/>
    <w:rsid w:val="00D61A74"/>
    <w:rsid w:val="00D624D0"/>
    <w:rsid w:val="00D62B11"/>
    <w:rsid w:val="00D6388E"/>
    <w:rsid w:val="00D645D1"/>
    <w:rsid w:val="00D65A14"/>
    <w:rsid w:val="00D67E81"/>
    <w:rsid w:val="00D71D88"/>
    <w:rsid w:val="00D8112F"/>
    <w:rsid w:val="00D81929"/>
    <w:rsid w:val="00D81D98"/>
    <w:rsid w:val="00D84D50"/>
    <w:rsid w:val="00D84FEF"/>
    <w:rsid w:val="00D90491"/>
    <w:rsid w:val="00D9139D"/>
    <w:rsid w:val="00D92C7E"/>
    <w:rsid w:val="00D9445C"/>
    <w:rsid w:val="00DA0A9B"/>
    <w:rsid w:val="00DA5249"/>
    <w:rsid w:val="00DA5444"/>
    <w:rsid w:val="00DA5CF1"/>
    <w:rsid w:val="00DA7D81"/>
    <w:rsid w:val="00DB0EAC"/>
    <w:rsid w:val="00DB18DF"/>
    <w:rsid w:val="00DB19FE"/>
    <w:rsid w:val="00DB2D09"/>
    <w:rsid w:val="00DB54BD"/>
    <w:rsid w:val="00DB558D"/>
    <w:rsid w:val="00DB5A7D"/>
    <w:rsid w:val="00DB70B3"/>
    <w:rsid w:val="00DC0CFA"/>
    <w:rsid w:val="00DC173F"/>
    <w:rsid w:val="00DC2A64"/>
    <w:rsid w:val="00DC42A5"/>
    <w:rsid w:val="00DC5112"/>
    <w:rsid w:val="00DC55D2"/>
    <w:rsid w:val="00DD21E9"/>
    <w:rsid w:val="00DD4579"/>
    <w:rsid w:val="00DD67C9"/>
    <w:rsid w:val="00DD7627"/>
    <w:rsid w:val="00DE0593"/>
    <w:rsid w:val="00DE3678"/>
    <w:rsid w:val="00DE383E"/>
    <w:rsid w:val="00DE4FB9"/>
    <w:rsid w:val="00DE67AE"/>
    <w:rsid w:val="00DE68C4"/>
    <w:rsid w:val="00DE70FE"/>
    <w:rsid w:val="00DF10A0"/>
    <w:rsid w:val="00DF18BA"/>
    <w:rsid w:val="00E02611"/>
    <w:rsid w:val="00E02751"/>
    <w:rsid w:val="00E04E50"/>
    <w:rsid w:val="00E076B4"/>
    <w:rsid w:val="00E139EC"/>
    <w:rsid w:val="00E13E5D"/>
    <w:rsid w:val="00E20DEC"/>
    <w:rsid w:val="00E20F9B"/>
    <w:rsid w:val="00E21738"/>
    <w:rsid w:val="00E244E1"/>
    <w:rsid w:val="00E2718C"/>
    <w:rsid w:val="00E27394"/>
    <w:rsid w:val="00E32D84"/>
    <w:rsid w:val="00E34791"/>
    <w:rsid w:val="00E35819"/>
    <w:rsid w:val="00E44A6C"/>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47AA"/>
    <w:rsid w:val="00E96EEB"/>
    <w:rsid w:val="00E972B2"/>
    <w:rsid w:val="00EA10C5"/>
    <w:rsid w:val="00EA1F48"/>
    <w:rsid w:val="00EA2A34"/>
    <w:rsid w:val="00EA62A1"/>
    <w:rsid w:val="00EB2C5A"/>
    <w:rsid w:val="00EB3786"/>
    <w:rsid w:val="00EB5E4A"/>
    <w:rsid w:val="00EB612D"/>
    <w:rsid w:val="00EB75F3"/>
    <w:rsid w:val="00EC0796"/>
    <w:rsid w:val="00EC40BF"/>
    <w:rsid w:val="00EC6ED4"/>
    <w:rsid w:val="00EC7885"/>
    <w:rsid w:val="00EC7F27"/>
    <w:rsid w:val="00ED183F"/>
    <w:rsid w:val="00ED4F69"/>
    <w:rsid w:val="00ED6A94"/>
    <w:rsid w:val="00EE0472"/>
    <w:rsid w:val="00EE2B1B"/>
    <w:rsid w:val="00EE2BB6"/>
    <w:rsid w:val="00EE5584"/>
    <w:rsid w:val="00EE583F"/>
    <w:rsid w:val="00EF0ABC"/>
    <w:rsid w:val="00EF542B"/>
    <w:rsid w:val="00F008E7"/>
    <w:rsid w:val="00F04132"/>
    <w:rsid w:val="00F06C06"/>
    <w:rsid w:val="00F06D55"/>
    <w:rsid w:val="00F1153B"/>
    <w:rsid w:val="00F1390B"/>
    <w:rsid w:val="00F13FBB"/>
    <w:rsid w:val="00F16E2B"/>
    <w:rsid w:val="00F22E8B"/>
    <w:rsid w:val="00F2492A"/>
    <w:rsid w:val="00F25524"/>
    <w:rsid w:val="00F26A7A"/>
    <w:rsid w:val="00F27E17"/>
    <w:rsid w:val="00F30595"/>
    <w:rsid w:val="00F30684"/>
    <w:rsid w:val="00F31726"/>
    <w:rsid w:val="00F35224"/>
    <w:rsid w:val="00F36759"/>
    <w:rsid w:val="00F36C41"/>
    <w:rsid w:val="00F42038"/>
    <w:rsid w:val="00F427D0"/>
    <w:rsid w:val="00F43863"/>
    <w:rsid w:val="00F44512"/>
    <w:rsid w:val="00F44FA6"/>
    <w:rsid w:val="00F46915"/>
    <w:rsid w:val="00F47002"/>
    <w:rsid w:val="00F471FF"/>
    <w:rsid w:val="00F51BDE"/>
    <w:rsid w:val="00F521F7"/>
    <w:rsid w:val="00F52549"/>
    <w:rsid w:val="00F540F9"/>
    <w:rsid w:val="00F5416C"/>
    <w:rsid w:val="00F5691D"/>
    <w:rsid w:val="00F61FD6"/>
    <w:rsid w:val="00F63792"/>
    <w:rsid w:val="00F64A31"/>
    <w:rsid w:val="00F64B6B"/>
    <w:rsid w:val="00F6689F"/>
    <w:rsid w:val="00F715EE"/>
    <w:rsid w:val="00F71A73"/>
    <w:rsid w:val="00F7338D"/>
    <w:rsid w:val="00F739F8"/>
    <w:rsid w:val="00F76AD0"/>
    <w:rsid w:val="00F77C8B"/>
    <w:rsid w:val="00F81684"/>
    <w:rsid w:val="00F82893"/>
    <w:rsid w:val="00F8405B"/>
    <w:rsid w:val="00F84F6C"/>
    <w:rsid w:val="00F85616"/>
    <w:rsid w:val="00F866B6"/>
    <w:rsid w:val="00F86C68"/>
    <w:rsid w:val="00F93489"/>
    <w:rsid w:val="00F94932"/>
    <w:rsid w:val="00F9497C"/>
    <w:rsid w:val="00F95B20"/>
    <w:rsid w:val="00F95ED1"/>
    <w:rsid w:val="00FA5D67"/>
    <w:rsid w:val="00FA6C01"/>
    <w:rsid w:val="00FA7CCC"/>
    <w:rsid w:val="00FB348A"/>
    <w:rsid w:val="00FB63E6"/>
    <w:rsid w:val="00FC48C9"/>
    <w:rsid w:val="00FC6D4F"/>
    <w:rsid w:val="00FC7AAF"/>
    <w:rsid w:val="00FC7F50"/>
    <w:rsid w:val="00FD0194"/>
    <w:rsid w:val="00FD3FD6"/>
    <w:rsid w:val="00FD71DC"/>
    <w:rsid w:val="00FE0522"/>
    <w:rsid w:val="00FE4CE5"/>
    <w:rsid w:val="00FF2255"/>
    <w:rsid w:val="00FF2BC8"/>
    <w:rsid w:val="00FF456D"/>
    <w:rsid w:val="00FF53CA"/>
    <w:rsid w:val="00FF63BE"/>
    <w:rsid w:val="00FF7F1B"/>
    <w:rsid w:val="02BA1A1C"/>
    <w:rsid w:val="05ED52D2"/>
    <w:rsid w:val="0AE57838"/>
    <w:rsid w:val="0B807CE5"/>
    <w:rsid w:val="0DD35592"/>
    <w:rsid w:val="0E2B4ADB"/>
    <w:rsid w:val="0F7B6323"/>
    <w:rsid w:val="11B45F46"/>
    <w:rsid w:val="163B5BA2"/>
    <w:rsid w:val="16F23771"/>
    <w:rsid w:val="17965B4E"/>
    <w:rsid w:val="1A6309E3"/>
    <w:rsid w:val="1B6A1D3D"/>
    <w:rsid w:val="1CE16911"/>
    <w:rsid w:val="1E3E04E2"/>
    <w:rsid w:val="21A03D38"/>
    <w:rsid w:val="233C5D95"/>
    <w:rsid w:val="24760AA7"/>
    <w:rsid w:val="29C9144C"/>
    <w:rsid w:val="2A636507"/>
    <w:rsid w:val="2BDA4D85"/>
    <w:rsid w:val="2FCA269B"/>
    <w:rsid w:val="2FD002A9"/>
    <w:rsid w:val="30675110"/>
    <w:rsid w:val="31C47847"/>
    <w:rsid w:val="359E4ED0"/>
    <w:rsid w:val="380A0023"/>
    <w:rsid w:val="391E23EA"/>
    <w:rsid w:val="3C020661"/>
    <w:rsid w:val="3C1A0FF2"/>
    <w:rsid w:val="3D2A67D0"/>
    <w:rsid w:val="3E383E7D"/>
    <w:rsid w:val="417F72A0"/>
    <w:rsid w:val="48592A3D"/>
    <w:rsid w:val="49C246BC"/>
    <w:rsid w:val="4B7714F6"/>
    <w:rsid w:val="5B7D1D8F"/>
    <w:rsid w:val="5D862937"/>
    <w:rsid w:val="5F957F0A"/>
    <w:rsid w:val="60805E4E"/>
    <w:rsid w:val="61C23572"/>
    <w:rsid w:val="65F82CED"/>
    <w:rsid w:val="699D210A"/>
    <w:rsid w:val="69D87D67"/>
    <w:rsid w:val="6A0E1F92"/>
    <w:rsid w:val="741F1C9D"/>
    <w:rsid w:val="75AA589C"/>
    <w:rsid w:val="75CA6844"/>
    <w:rsid w:val="79C43A5E"/>
    <w:rsid w:val="7B5A0464"/>
    <w:rsid w:val="7B6534E1"/>
    <w:rsid w:val="7C89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56"/>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link w:val="57"/>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58"/>
    <w:qFormat/>
    <w:uiPriority w:val="0"/>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59"/>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unhideWhenUsed/>
    <w:qFormat/>
    <w:uiPriority w:val="99"/>
    <w:pPr>
      <w:autoSpaceDE w:val="0"/>
      <w:autoSpaceDN w:val="0"/>
      <w:spacing w:line="240" w:lineRule="auto"/>
      <w:ind w:firstLine="420"/>
      <w:textAlignment w:val="auto"/>
    </w:pPr>
    <w:rPr>
      <w:rFonts w:ascii="宋体" w:hAnsi="Times New Roman" w:cs="宋体"/>
      <w:szCs w:val="24"/>
    </w:rPr>
  </w:style>
  <w:style w:type="paragraph" w:styleId="8">
    <w:name w:val="annotation text"/>
    <w:basedOn w:val="1"/>
    <w:link w:val="61"/>
    <w:qFormat/>
    <w:uiPriority w:val="99"/>
  </w:style>
  <w:style w:type="paragraph" w:styleId="9">
    <w:name w:val="Body Text"/>
    <w:basedOn w:val="1"/>
    <w:link w:val="65"/>
    <w:qFormat/>
    <w:uiPriority w:val="0"/>
    <w:pPr>
      <w:spacing w:after="120"/>
    </w:pPr>
  </w:style>
  <w:style w:type="paragraph" w:styleId="10">
    <w:name w:val="Body Text Indent"/>
    <w:basedOn w:val="1"/>
    <w:link w:val="50"/>
    <w:qFormat/>
    <w:uiPriority w:val="0"/>
    <w:pPr>
      <w:spacing w:after="120"/>
      <w:ind w:left="420" w:leftChars="200"/>
    </w:pPr>
  </w:style>
  <w:style w:type="paragraph" w:styleId="11">
    <w:name w:val="Block Text"/>
    <w:basedOn w:val="1"/>
    <w:qFormat/>
    <w:uiPriority w:val="0"/>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48"/>
    <w:qFormat/>
    <w:uiPriority w:val="99"/>
    <w:pPr>
      <w:adjustRightInd/>
      <w:spacing w:line="240" w:lineRule="auto"/>
      <w:jc w:val="both"/>
      <w:textAlignment w:val="auto"/>
    </w:pPr>
    <w:rPr>
      <w:rFonts w:ascii="宋体" w:hAnsi="Courier New"/>
      <w:kern w:val="2"/>
      <w:sz w:val="21"/>
      <w:szCs w:val="21"/>
    </w:rPr>
  </w:style>
  <w:style w:type="paragraph" w:styleId="13">
    <w:name w:val="Balloon Text"/>
    <w:basedOn w:val="1"/>
    <w:link w:val="62"/>
    <w:semiHidden/>
    <w:qFormat/>
    <w:uiPriority w:val="0"/>
    <w:rPr>
      <w:sz w:val="18"/>
      <w:szCs w:val="18"/>
    </w:rPr>
  </w:style>
  <w:style w:type="paragraph" w:styleId="14">
    <w:name w:val="footer"/>
    <w:basedOn w:val="1"/>
    <w:link w:val="55"/>
    <w:qFormat/>
    <w:uiPriority w:val="0"/>
    <w:pPr>
      <w:tabs>
        <w:tab w:val="center" w:pos="4153"/>
        <w:tab w:val="right" w:pos="8306"/>
      </w:tabs>
      <w:spacing w:line="240" w:lineRule="atLeast"/>
    </w:pPr>
    <w:rPr>
      <w:sz w:val="18"/>
    </w:rPr>
  </w:style>
  <w:style w:type="paragraph" w:styleId="15">
    <w:name w:val="header"/>
    <w:basedOn w:val="1"/>
    <w:link w:val="54"/>
    <w:qFormat/>
    <w:uiPriority w:val="0"/>
    <w:pPr>
      <w:pBdr>
        <w:bottom w:val="single" w:color="auto" w:sz="6" w:space="1"/>
      </w:pBdr>
      <w:tabs>
        <w:tab w:val="center" w:pos="4153"/>
        <w:tab w:val="right" w:pos="8306"/>
      </w:tabs>
      <w:spacing w:line="240" w:lineRule="atLeast"/>
      <w:jc w:val="center"/>
    </w:pPr>
    <w:rPr>
      <w:sz w:val="18"/>
    </w:rPr>
  </w:style>
  <w:style w:type="paragraph" w:styleId="16">
    <w:name w:val="toc 1"/>
    <w:basedOn w:val="1"/>
    <w:next w:val="1"/>
    <w:qFormat/>
    <w:uiPriority w:val="39"/>
  </w:style>
  <w:style w:type="paragraph" w:styleId="17">
    <w:name w:val="Body Text First Indent 2"/>
    <w:basedOn w:val="10"/>
    <w:link w:val="51"/>
    <w:unhideWhenUsed/>
    <w:qFormat/>
    <w:uiPriority w:val="99"/>
    <w:pPr>
      <w:adjustRightInd/>
      <w:spacing w:line="240" w:lineRule="auto"/>
      <w:ind w:firstLine="420" w:firstLineChars="200"/>
      <w:jc w:val="both"/>
      <w:textAlignment w:val="auto"/>
    </w:pPr>
    <w:rPr>
      <w:rFonts w:ascii="Times New Roman" w:hAnsi="Times New Roman"/>
      <w:kern w:val="2"/>
      <w:sz w:val="21"/>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character" w:styleId="22">
    <w:name w:val="FollowedHyperlink"/>
    <w:qFormat/>
    <w:uiPriority w:val="99"/>
    <w:rPr>
      <w:color w:val="800080"/>
      <w:u w:val="single"/>
    </w:rPr>
  </w:style>
  <w:style w:type="character" w:styleId="23">
    <w:name w:val="Hyperlink"/>
    <w:unhideWhenUsed/>
    <w:qFormat/>
    <w:uiPriority w:val="99"/>
    <w:rPr>
      <w:color w:val="0000FF"/>
      <w:u w:val="single"/>
    </w:rPr>
  </w:style>
  <w:style w:type="paragraph" w:customStyle="1" w:styleId="24">
    <w:name w:val="样式 标题 2 + 宋体 五号 非加粗 黑色"/>
    <w:basedOn w:val="4"/>
    <w:qFormat/>
    <w:uiPriority w:val="0"/>
    <w:rPr>
      <w:rFonts w:ascii="宋体" w:hAnsi="宋体" w:eastAsia="宋体"/>
      <w:b w:val="0"/>
      <w:bCs w:val="0"/>
      <w:color w:val="000000"/>
      <w:sz w:val="21"/>
    </w:rPr>
  </w:style>
  <w:style w:type="paragraph" w:customStyle="1" w:styleId="25">
    <w:name w:val="样式 标题 3h3H3sect1.2.3 + 五号 段前: 6 磅 段后: 6 磅 行距: 单倍行距"/>
    <w:basedOn w:val="5"/>
    <w:qFormat/>
    <w:uiPriority w:val="0"/>
    <w:pPr>
      <w:spacing w:before="120" w:after="120" w:line="240" w:lineRule="auto"/>
    </w:pPr>
    <w:rPr>
      <w:sz w:val="21"/>
    </w:rPr>
  </w:style>
  <w:style w:type="paragraph" w:customStyle="1" w:styleId="26">
    <w:name w:val="列出段落1"/>
    <w:basedOn w:val="1"/>
    <w:qFormat/>
    <w:uiPriority w:val="0"/>
    <w:pPr>
      <w:ind w:firstLine="420" w:firstLineChars="200"/>
    </w:pPr>
  </w:style>
  <w:style w:type="paragraph" w:customStyle="1" w:styleId="27">
    <w:name w:val="纯文本1"/>
    <w:basedOn w:val="1"/>
    <w:qFormat/>
    <w:uiPriority w:val="0"/>
    <w:pPr>
      <w:adjustRightInd/>
      <w:spacing w:line="240" w:lineRule="auto"/>
      <w:jc w:val="both"/>
      <w:textAlignment w:val="auto"/>
    </w:pPr>
    <w:rPr>
      <w:rFonts w:ascii="宋体" w:hAnsi="Courier New"/>
      <w:kern w:val="2"/>
      <w:sz w:val="21"/>
      <w:szCs w:val="21"/>
    </w:rPr>
  </w:style>
  <w:style w:type="paragraph" w:customStyle="1" w:styleId="28">
    <w:name w:val="样式 标题 4 + 段前: 5 磅 段后: 5 磅 行距: 单倍行距"/>
    <w:basedOn w:val="6"/>
    <w:qFormat/>
    <w:uiPriority w:val="0"/>
    <w:pPr>
      <w:spacing w:before="100" w:after="100" w:line="240" w:lineRule="auto"/>
    </w:pPr>
    <w:rPr>
      <w:rFonts w:cs="宋体"/>
      <w:szCs w:val="20"/>
    </w:rPr>
  </w:style>
  <w:style w:type="paragraph" w:customStyle="1" w:styleId="29">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30">
    <w:name w:val="样式 样式 样式 样式 标题 2 + 宋体 五号 非加粗 黑色 + 段前: 6 磅 段后: 0 磅 行距: 单倍行距 + 段前:..."/>
    <w:basedOn w:val="31"/>
    <w:qFormat/>
    <w:uiPriority w:val="0"/>
    <w:rPr>
      <w:b/>
      <w:bCs/>
    </w:rPr>
  </w:style>
  <w:style w:type="paragraph" w:customStyle="1" w:styleId="31">
    <w:name w:val="样式 样式 样式 标题 2 + 宋体 五号 非加粗 黑色 + 段前: 6 磅 段后: 0 磅 行距: 单倍行距 + 段前: 12..."/>
    <w:basedOn w:val="32"/>
    <w:qFormat/>
    <w:uiPriority w:val="0"/>
    <w:pPr>
      <w:spacing w:before="240"/>
    </w:pPr>
  </w:style>
  <w:style w:type="paragraph" w:customStyle="1" w:styleId="32">
    <w:name w:val="样式 样式 标题 2 + 宋体 五号 非加粗 黑色 + 段前: 6 磅 段后: 0 磅 行距: 单倍行距"/>
    <w:basedOn w:val="24"/>
    <w:qFormat/>
    <w:uiPriority w:val="0"/>
    <w:pPr>
      <w:spacing w:before="120" w:after="0" w:line="240" w:lineRule="auto"/>
    </w:pPr>
    <w:rPr>
      <w:rFonts w:cs="宋体"/>
      <w:szCs w:val="20"/>
    </w:rPr>
  </w:style>
  <w:style w:type="paragraph" w:customStyle="1" w:styleId="33">
    <w:name w:val="p0"/>
    <w:basedOn w:val="1"/>
    <w:qFormat/>
    <w:uiPriority w:val="0"/>
    <w:pPr>
      <w:widowControl/>
      <w:spacing w:before="100" w:beforeAutospacing="1" w:after="100" w:afterAutospacing="1"/>
    </w:pPr>
    <w:rPr>
      <w:rFonts w:ascii="宋体" w:hAnsi="宋体" w:cs="宋体"/>
      <w:szCs w:val="24"/>
    </w:rPr>
  </w:style>
  <w:style w:type="paragraph" w:customStyle="1" w:styleId="34">
    <w:name w:val="样式1"/>
    <w:basedOn w:val="1"/>
    <w:link w:val="53"/>
    <w:qFormat/>
    <w:uiPriority w:val="0"/>
    <w:pPr>
      <w:numPr>
        <w:ilvl w:val="0"/>
        <w:numId w:val="2"/>
      </w:numPr>
      <w:spacing w:line="240" w:lineRule="auto"/>
      <w:jc w:val="both"/>
    </w:pPr>
    <w:rPr>
      <w:rFonts w:ascii="宋体" w:hAnsi="宋体"/>
      <w:sz w:val="21"/>
      <w:szCs w:val="21"/>
    </w:rPr>
  </w:style>
  <w:style w:type="paragraph" w:customStyle="1" w:styleId="35">
    <w:name w:val="普通文字"/>
    <w:basedOn w:val="1"/>
    <w:qFormat/>
    <w:uiPriority w:val="0"/>
    <w:pPr>
      <w:widowControl/>
      <w:adjustRightInd/>
      <w:spacing w:line="351" w:lineRule="atLeast"/>
      <w:ind w:firstLine="419"/>
      <w:jc w:val="both"/>
    </w:pPr>
    <w:rPr>
      <w:rFonts w:ascii="宋体" w:hAnsi="Times New Roman"/>
      <w:color w:val="000000"/>
      <w:sz w:val="21"/>
      <w:szCs w:val="20"/>
      <w:u w:color="000000"/>
    </w:rPr>
  </w:style>
  <w:style w:type="paragraph" w:customStyle="1" w:styleId="36">
    <w:name w:val="正文文字缩进 3"/>
    <w:basedOn w:val="1"/>
    <w:qFormat/>
    <w:uiPriority w:val="0"/>
    <w:pPr>
      <w:widowControl/>
      <w:adjustRightInd/>
      <w:spacing w:before="119" w:line="272" w:lineRule="atLeast"/>
      <w:ind w:left="719" w:firstLine="481"/>
    </w:pPr>
    <w:rPr>
      <w:rFonts w:ascii="宋体" w:hAnsi="Times New Roman"/>
      <w:color w:val="000000"/>
      <w:szCs w:val="20"/>
      <w:u w:color="000000"/>
    </w:rPr>
  </w:style>
  <w:style w:type="paragraph" w:customStyle="1" w:styleId="37">
    <w:name w:val="正文文字缩进 2"/>
    <w:basedOn w:val="1"/>
    <w:qFormat/>
    <w:uiPriority w:val="0"/>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38">
    <w:name w:val="_Style 35"/>
    <w:hidden/>
    <w:semiHidden/>
    <w:qFormat/>
    <w:uiPriority w:val="99"/>
    <w:rPr>
      <w:rFonts w:ascii="Calibri" w:hAnsi="Calibri" w:eastAsia="宋体" w:cs="Times New Roman"/>
      <w:sz w:val="24"/>
      <w:szCs w:val="22"/>
      <w:lang w:val="en-US" w:eastAsia="zh-CN" w:bidi="ar-SA"/>
    </w:rPr>
  </w:style>
  <w:style w:type="paragraph" w:styleId="39">
    <w:name w:val="List Paragraph"/>
    <w:basedOn w:val="1"/>
    <w:link w:val="67"/>
    <w:qFormat/>
    <w:uiPriority w:val="34"/>
    <w:pPr>
      <w:ind w:firstLine="420" w:firstLineChars="200"/>
    </w:pPr>
  </w:style>
  <w:style w:type="paragraph" w:customStyle="1" w:styleId="40">
    <w:name w:val="text"/>
    <w:basedOn w:val="1"/>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customStyle="1" w:styleId="41">
    <w:name w:val="List Paragraph1"/>
    <w:basedOn w:val="1"/>
    <w:next w:val="42"/>
    <w:qFormat/>
    <w:uiPriority w:val="34"/>
    <w:pPr>
      <w:adjustRightInd/>
      <w:spacing w:line="240" w:lineRule="auto"/>
      <w:ind w:firstLine="420" w:firstLineChars="200"/>
      <w:jc w:val="both"/>
      <w:textAlignment w:val="auto"/>
    </w:pPr>
    <w:rPr>
      <w:kern w:val="2"/>
      <w:sz w:val="21"/>
      <w:lang w:val="zh-CN"/>
    </w:rPr>
  </w:style>
  <w:style w:type="paragraph" w:customStyle="1" w:styleId="42">
    <w:name w:val="列表段落1"/>
    <w:basedOn w:val="1"/>
    <w:qFormat/>
    <w:uiPriority w:val="34"/>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43">
    <w:name w:val="_Style 34"/>
    <w:next w:val="1"/>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44">
    <w:name w:val="No Spacing"/>
    <w:link w:val="68"/>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px_10"/>
    <w:basedOn w:val="20"/>
    <w:qFormat/>
    <w:uiPriority w:val="0"/>
  </w:style>
  <w:style w:type="character" w:customStyle="1" w:styleId="46">
    <w:name w:val="apple-converted-space"/>
    <w:qFormat/>
    <w:uiPriority w:val="0"/>
    <w:rPr>
      <w:rFonts w:cs="Times New Roman"/>
    </w:rPr>
  </w:style>
  <w:style w:type="character" w:customStyle="1" w:styleId="47">
    <w:name w:val="标题 1 Char Char Char Char"/>
    <w:qFormat/>
    <w:uiPriority w:val="0"/>
    <w:rPr>
      <w:rFonts w:eastAsia="宋体"/>
      <w:b/>
      <w:bCs/>
      <w:kern w:val="44"/>
      <w:sz w:val="44"/>
      <w:szCs w:val="44"/>
      <w:lang w:val="en-US" w:eastAsia="zh-CN" w:bidi="ar-SA"/>
    </w:rPr>
  </w:style>
  <w:style w:type="character" w:customStyle="1" w:styleId="48">
    <w:name w:val="纯文本 Char"/>
    <w:link w:val="12"/>
    <w:qFormat/>
    <w:uiPriority w:val="0"/>
    <w:rPr>
      <w:rFonts w:ascii="宋体" w:hAnsi="Courier New" w:eastAsia="宋体"/>
      <w:kern w:val="2"/>
      <w:sz w:val="21"/>
      <w:szCs w:val="21"/>
      <w:lang w:val="en-US" w:eastAsia="zh-CN" w:bidi="ar-SA"/>
    </w:rPr>
  </w:style>
  <w:style w:type="character" w:customStyle="1" w:styleId="49">
    <w:name w:val="标题 3 Char"/>
    <w:qFormat/>
    <w:uiPriority w:val="0"/>
    <w:rPr>
      <w:rFonts w:ascii="宋体" w:hAnsi="宋体"/>
    </w:rPr>
  </w:style>
  <w:style w:type="character" w:customStyle="1" w:styleId="50">
    <w:name w:val="正文文本缩进 Char"/>
    <w:link w:val="10"/>
    <w:qFormat/>
    <w:uiPriority w:val="0"/>
    <w:rPr>
      <w:sz w:val="24"/>
      <w:szCs w:val="22"/>
    </w:rPr>
  </w:style>
  <w:style w:type="character" w:customStyle="1" w:styleId="51">
    <w:name w:val="正文首行缩进 2 Char"/>
    <w:link w:val="17"/>
    <w:qFormat/>
    <w:uiPriority w:val="99"/>
    <w:rPr>
      <w:rFonts w:ascii="Times New Roman" w:hAnsi="Times New Roman"/>
      <w:kern w:val="2"/>
      <w:sz w:val="21"/>
      <w:szCs w:val="24"/>
    </w:rPr>
  </w:style>
  <w:style w:type="character" w:customStyle="1" w:styleId="52">
    <w:name w:val="15"/>
    <w:qFormat/>
    <w:uiPriority w:val="0"/>
    <w:rPr>
      <w:rFonts w:hint="eastAsia" w:ascii="宋体" w:hAnsi="宋体" w:eastAsia="宋体"/>
      <w:color w:val="000000"/>
      <w:sz w:val="20"/>
      <w:szCs w:val="20"/>
    </w:rPr>
  </w:style>
  <w:style w:type="character" w:customStyle="1" w:styleId="53">
    <w:name w:val="样式1 Char"/>
    <w:link w:val="34"/>
    <w:qFormat/>
    <w:uiPriority w:val="0"/>
    <w:rPr>
      <w:rFonts w:ascii="宋体" w:hAnsi="宋体"/>
      <w:sz w:val="21"/>
      <w:szCs w:val="21"/>
    </w:rPr>
  </w:style>
  <w:style w:type="character" w:customStyle="1" w:styleId="54">
    <w:name w:val="页眉 Char"/>
    <w:link w:val="15"/>
    <w:qFormat/>
    <w:uiPriority w:val="0"/>
    <w:rPr>
      <w:sz w:val="18"/>
      <w:szCs w:val="22"/>
    </w:rPr>
  </w:style>
  <w:style w:type="character" w:customStyle="1" w:styleId="55">
    <w:name w:val="页脚 Char"/>
    <w:link w:val="14"/>
    <w:qFormat/>
    <w:uiPriority w:val="0"/>
    <w:rPr>
      <w:sz w:val="18"/>
      <w:szCs w:val="22"/>
    </w:rPr>
  </w:style>
  <w:style w:type="character" w:customStyle="1" w:styleId="56">
    <w:name w:val="标题 1 Char"/>
    <w:link w:val="3"/>
    <w:qFormat/>
    <w:uiPriority w:val="0"/>
    <w:rPr>
      <w:b/>
      <w:bCs/>
      <w:kern w:val="44"/>
      <w:sz w:val="44"/>
      <w:szCs w:val="44"/>
    </w:rPr>
  </w:style>
  <w:style w:type="character" w:customStyle="1" w:styleId="57">
    <w:name w:val="标题 2 Char"/>
    <w:link w:val="4"/>
    <w:qFormat/>
    <w:uiPriority w:val="0"/>
    <w:rPr>
      <w:rFonts w:ascii="Arial" w:hAnsi="Arial" w:eastAsia="黑体"/>
      <w:b/>
      <w:bCs/>
      <w:sz w:val="32"/>
      <w:szCs w:val="32"/>
    </w:rPr>
  </w:style>
  <w:style w:type="character" w:customStyle="1" w:styleId="58">
    <w:name w:val="标题 3 Char1"/>
    <w:link w:val="5"/>
    <w:qFormat/>
    <w:uiPriority w:val="0"/>
    <w:rPr>
      <w:b/>
      <w:sz w:val="32"/>
      <w:szCs w:val="22"/>
    </w:rPr>
  </w:style>
  <w:style w:type="character" w:customStyle="1" w:styleId="59">
    <w:name w:val="标题 4 Char"/>
    <w:link w:val="6"/>
    <w:qFormat/>
    <w:uiPriority w:val="0"/>
    <w:rPr>
      <w:rFonts w:ascii="Arial" w:hAnsi="Arial" w:eastAsia="黑体"/>
      <w:b/>
      <w:bCs/>
      <w:sz w:val="28"/>
      <w:szCs w:val="28"/>
    </w:rPr>
  </w:style>
  <w:style w:type="character" w:customStyle="1" w:styleId="60">
    <w:name w:val="纯文本 字符"/>
    <w:qFormat/>
    <w:uiPriority w:val="99"/>
    <w:rPr>
      <w:rFonts w:ascii="等线" w:hAnsi="Courier New" w:eastAsia="等线" w:cs="Courier New"/>
      <w:sz w:val="24"/>
      <w:szCs w:val="22"/>
    </w:rPr>
  </w:style>
  <w:style w:type="character" w:customStyle="1" w:styleId="61">
    <w:name w:val="批注文字 Char"/>
    <w:link w:val="8"/>
    <w:qFormat/>
    <w:uiPriority w:val="0"/>
    <w:rPr>
      <w:sz w:val="24"/>
      <w:szCs w:val="22"/>
    </w:rPr>
  </w:style>
  <w:style w:type="character" w:customStyle="1" w:styleId="62">
    <w:name w:val="批注框文本 Char"/>
    <w:link w:val="13"/>
    <w:semiHidden/>
    <w:qFormat/>
    <w:uiPriority w:val="0"/>
    <w:rPr>
      <w:sz w:val="18"/>
      <w:szCs w:val="18"/>
    </w:rPr>
  </w:style>
  <w:style w:type="character" w:customStyle="1" w:styleId="63">
    <w:name w:val="正文文本缩进 字符"/>
    <w:semiHidden/>
    <w:qFormat/>
    <w:uiPriority w:val="99"/>
    <w:rPr>
      <w:sz w:val="24"/>
      <w:szCs w:val="22"/>
    </w:rPr>
  </w:style>
  <w:style w:type="character" w:customStyle="1" w:styleId="64">
    <w:name w:val="正文首行缩进 2 字符"/>
    <w:semiHidden/>
    <w:qFormat/>
    <w:uiPriority w:val="99"/>
  </w:style>
  <w:style w:type="character" w:customStyle="1" w:styleId="65">
    <w:name w:val="正文文本 Char"/>
    <w:link w:val="9"/>
    <w:qFormat/>
    <w:uiPriority w:val="0"/>
    <w:rPr>
      <w:sz w:val="24"/>
      <w:szCs w:val="22"/>
    </w:rPr>
  </w:style>
  <w:style w:type="character" w:customStyle="1" w:styleId="66">
    <w:name w:val="批注文字 字符1"/>
    <w:qFormat/>
    <w:uiPriority w:val="99"/>
    <w:rPr>
      <w:kern w:val="2"/>
      <w:sz w:val="21"/>
      <w:szCs w:val="24"/>
    </w:rPr>
  </w:style>
  <w:style w:type="character" w:customStyle="1" w:styleId="67">
    <w:name w:val="列出段落 Char"/>
    <w:link w:val="39"/>
    <w:qFormat/>
    <w:uiPriority w:val="34"/>
    <w:rPr>
      <w:sz w:val="24"/>
      <w:szCs w:val="22"/>
    </w:rPr>
  </w:style>
  <w:style w:type="character" w:customStyle="1" w:styleId="68">
    <w:name w:val="无间隔 Char"/>
    <w:link w:val="44"/>
    <w:qFormat/>
    <w:uiPriority w:val="1"/>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7F989-EBD6-473F-9B6B-8718E8096F0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6146</Words>
  <Characters>35038</Characters>
  <Lines>291</Lines>
  <Paragraphs>82</Paragraphs>
  <TotalTime>9</TotalTime>
  <ScaleCrop>false</ScaleCrop>
  <LinksUpToDate>false</LinksUpToDate>
  <CharactersWithSpaces>41102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2023-02-15T09:19:00Z</dcterms:created>
  <dc:creator>lyf</dc:creator>
  <cp:lastModifiedBy>福少爷</cp:lastModifiedBy>
  <cp:lastPrinted>2020-07-07T08:56:00Z</cp:lastPrinted>
  <dcterms:modified xsi:type="dcterms:W3CDTF">2023-08-21T06:34:23Z</dcterms:modified>
  <dc:title>招 标 文 件</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3406AC726A0C4F4B8789DE1449954ACA_12</vt:lpwstr>
  </property>
</Properties>
</file>