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0AC53">
      <w:pPr>
        <w:widowControl/>
        <w:spacing w:line="560" w:lineRule="exact"/>
        <w:jc w:val="center"/>
        <w:rPr>
          <w:rFonts w:ascii="方正小标宋简体" w:hAnsi="Arial" w:eastAsia="方正小标宋简体" w:cs="Arial"/>
          <w:sz w:val="44"/>
          <w:szCs w:val="44"/>
        </w:rPr>
      </w:pPr>
      <w:r>
        <w:rPr>
          <w:rFonts w:ascii="方正小标宋简体" w:hAnsi="Arial" w:eastAsia="方正小标宋简体" w:cs="Arial"/>
          <w:sz w:val="44"/>
          <w:szCs w:val="44"/>
          <w:lang w:val="en" w:bidi="ar"/>
        </w:rPr>
        <w:t>202</w:t>
      </w:r>
      <w:r>
        <w:rPr>
          <w:rFonts w:hint="eastAsia" w:ascii="方正小标宋简体" w:hAnsi="Arial" w:eastAsia="方正小标宋简体" w:cs="Arial"/>
          <w:sz w:val="44"/>
          <w:szCs w:val="44"/>
          <w:lang w:bidi="ar"/>
        </w:rPr>
        <w:t>4</w:t>
      </w:r>
      <w:r>
        <w:rPr>
          <w:rFonts w:hint="eastAsia" w:ascii="方正小标宋简体" w:hAnsi="Arial" w:eastAsia="方正小标宋简体" w:cs="Arial"/>
          <w:sz w:val="44"/>
          <w:szCs w:val="44"/>
          <w:lang w:val="en" w:bidi="ar"/>
        </w:rPr>
        <w:t>年度</w:t>
      </w:r>
      <w:r>
        <w:rPr>
          <w:rFonts w:hint="eastAsia" w:ascii="方正小标宋简体" w:hAnsi="Arial" w:eastAsia="方正小标宋简体" w:cs="Arial"/>
          <w:sz w:val="44"/>
          <w:szCs w:val="44"/>
          <w:lang w:bidi="ar"/>
        </w:rPr>
        <w:t>中央对北京</w:t>
      </w:r>
    </w:p>
    <w:p w14:paraId="276B7993">
      <w:pPr>
        <w:widowControl/>
        <w:spacing w:line="560" w:lineRule="exact"/>
        <w:jc w:val="center"/>
        <w:rPr>
          <w:rFonts w:ascii="方正小标宋简体" w:hAnsi="Arial" w:eastAsia="方正小标宋简体" w:cs="Arial"/>
          <w:sz w:val="44"/>
          <w:szCs w:val="44"/>
          <w:lang w:bidi="ar"/>
        </w:rPr>
      </w:pPr>
      <w:r>
        <w:rPr>
          <w:rFonts w:hint="eastAsia" w:ascii="方正小标宋简体" w:hAnsi="Arial" w:eastAsia="方正小标宋简体" w:cs="Arial"/>
          <w:sz w:val="44"/>
          <w:szCs w:val="44"/>
          <w:lang w:bidi="ar"/>
        </w:rPr>
        <w:t>中央广播电视无线覆盖运行维护专项转移</w:t>
      </w:r>
    </w:p>
    <w:p w14:paraId="7FB9EF62">
      <w:pPr>
        <w:widowControl/>
        <w:spacing w:line="560" w:lineRule="exact"/>
        <w:jc w:val="center"/>
        <w:rPr>
          <w:rFonts w:ascii="方正小标宋简体" w:hAnsi="Arial" w:eastAsia="方正小标宋简体" w:cs="Arial"/>
          <w:sz w:val="44"/>
          <w:szCs w:val="44"/>
        </w:rPr>
      </w:pPr>
      <w:r>
        <w:rPr>
          <w:rFonts w:hint="eastAsia" w:ascii="方正小标宋简体" w:hAnsi="Arial" w:eastAsia="方正小标宋简体" w:cs="Arial"/>
          <w:sz w:val="44"/>
          <w:szCs w:val="44"/>
          <w:lang w:bidi="ar"/>
        </w:rPr>
        <w:t>支付预算执行情况绩效自评报告</w:t>
      </w:r>
    </w:p>
    <w:p w14:paraId="18647CEF">
      <w:pPr>
        <w:spacing w:after="156" w:afterLines="50" w:line="560" w:lineRule="exact"/>
        <w:jc w:val="center"/>
        <w:outlineLvl w:val="0"/>
        <w:rPr>
          <w:rFonts w:ascii="方正小标宋简体" w:hAnsi="宋体" w:eastAsia="方正小标宋简体" w:cs="宋体"/>
          <w:sz w:val="44"/>
          <w:szCs w:val="44"/>
        </w:rPr>
      </w:pPr>
    </w:p>
    <w:p w14:paraId="26C3F9C4">
      <w:pPr>
        <w:pStyle w:val="2"/>
        <w:keepLines w:val="0"/>
        <w:kinsoku w:val="0"/>
        <w:overflowPunct w:val="0"/>
        <w:autoSpaceDE w:val="0"/>
        <w:autoSpaceDN w:val="0"/>
        <w:spacing w:before="0" w:after="0" w:line="560" w:lineRule="exact"/>
        <w:ind w:firstLine="640" w:firstLineChars="200"/>
        <w:rPr>
          <w:rFonts w:ascii="黑体" w:hAnsi="宋体" w:eastAsia="黑体" w:cs="黑体"/>
          <w:b w:val="0"/>
          <w:bCs w:val="0"/>
          <w:sz w:val="32"/>
          <w:szCs w:val="32"/>
        </w:rPr>
      </w:pPr>
      <w:r>
        <w:rPr>
          <w:rFonts w:hint="eastAsia" w:ascii="黑体" w:hAnsi="宋体" w:eastAsia="黑体" w:cs="黑体"/>
          <w:b w:val="0"/>
          <w:bCs w:val="0"/>
          <w:sz w:val="32"/>
          <w:szCs w:val="32"/>
        </w:rPr>
        <w:t>一、转移支付基本情况</w:t>
      </w:r>
    </w:p>
    <w:p w14:paraId="164DF989">
      <w:pPr>
        <w:keepNext/>
        <w:kinsoku w:val="0"/>
        <w:overflowPunct w:val="0"/>
        <w:autoSpaceDE w:val="0"/>
        <w:autoSpaceDN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lang w:bidi="ar"/>
        </w:rPr>
        <w:t>（一）中央广播电视无线覆盖运行维护专项转移支付概况</w:t>
      </w:r>
    </w:p>
    <w:p w14:paraId="4395829C">
      <w:pPr>
        <w:spacing w:line="560" w:lineRule="exact"/>
        <w:ind w:firstLine="640" w:firstLineChars="200"/>
        <w:rPr>
          <w:rFonts w:ascii="仿宋_GB2312" w:hAnsi="仿宋" w:cs="仿宋_GB2312"/>
          <w:sz w:val="32"/>
          <w:szCs w:val="32"/>
        </w:rPr>
      </w:pPr>
      <w:r>
        <w:rPr>
          <w:rFonts w:hint="eastAsia" w:ascii="仿宋_GB2312" w:hAnsi="仿宋" w:cs="仿宋_GB2312"/>
          <w:sz w:val="32"/>
          <w:szCs w:val="32"/>
          <w:lang w:bidi="ar"/>
        </w:rPr>
        <w:t>依据国家广播电视总局统一部署要求和相关政策精神，北京市广播电视局（以下简称“市广电局”）严格落实广播电视设备设施运维管理和安全播出监督管理工作职责，申请“中央广播电视节目无线覆盖专项运行维护费”项目（以下简称“该项目”），2024年申报预算196.00万元，对20部模拟发射机和数字发射机进行维护，以保障中央广播电视发射机正常、平稳运行，保证中央广播电视节目安全播出，稳步提升基本公共文化服务水平。</w:t>
      </w:r>
    </w:p>
    <w:p w14:paraId="461E9189">
      <w:pPr>
        <w:keepNext/>
        <w:keepLines/>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lang w:bidi="ar"/>
        </w:rPr>
        <w:t>（二）资金投入情况分析</w:t>
      </w:r>
    </w:p>
    <w:p w14:paraId="0F798A86">
      <w:pPr>
        <w:spacing w:line="560" w:lineRule="exact"/>
        <w:ind w:firstLine="643" w:firstLineChars="200"/>
        <w:outlineLvl w:val="2"/>
        <w:rPr>
          <w:rFonts w:ascii="仿宋_GB2312" w:hAnsi="仿宋_GB2312" w:cs="仿宋_GB2312"/>
          <w:b/>
          <w:sz w:val="32"/>
          <w:szCs w:val="32"/>
        </w:rPr>
      </w:pPr>
      <w:r>
        <w:rPr>
          <w:rFonts w:hint="eastAsia" w:ascii="仿宋_GB2312" w:hAnsi="仿宋_GB2312" w:cs="仿宋_GB2312"/>
          <w:b/>
          <w:sz w:val="32"/>
          <w:szCs w:val="32"/>
        </w:rPr>
        <w:t>1.资金到位情况</w:t>
      </w:r>
      <w:bookmarkStart w:id="0" w:name="_GoBack"/>
      <w:bookmarkEnd w:id="0"/>
    </w:p>
    <w:p w14:paraId="3D266D0F">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2024年2月，市财政局向市广电局拨付资金196.00万元，其中，中央广播电视节目无线覆盖（数字）运行维护费185.00万元，中央广播电视节目无线覆盖（模拟）运行维护费11.00万元，资金到位率100%。</w:t>
      </w:r>
    </w:p>
    <w:p w14:paraId="1DE84F93">
      <w:pPr>
        <w:spacing w:line="560" w:lineRule="exact"/>
        <w:ind w:firstLine="643" w:firstLineChars="200"/>
        <w:outlineLvl w:val="2"/>
        <w:rPr>
          <w:rFonts w:ascii="仿宋_GB2312" w:hAnsi="仿宋_GB2312" w:cs="仿宋_GB2312"/>
          <w:b/>
          <w:sz w:val="32"/>
          <w:szCs w:val="32"/>
        </w:rPr>
      </w:pPr>
      <w:r>
        <w:rPr>
          <w:rFonts w:hint="eastAsia" w:ascii="仿宋_GB2312" w:hAnsi="仿宋_GB2312" w:cs="仿宋_GB2312"/>
          <w:b/>
          <w:sz w:val="32"/>
          <w:szCs w:val="32"/>
        </w:rPr>
        <w:t>2.资金执行情况</w:t>
      </w:r>
    </w:p>
    <w:p w14:paraId="081FE7E9">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该项目预算批复金额为196.00万元，实际支出193.80万元，其中，中央广播电视节目无线覆盖（模拟）运行维护费实际支出11.00万元，中央广播电视节目无线覆盖（数字）运行维护费实际支出182.80万元，结余2.20万元，预算执行率98.88%，执行率高。</w:t>
      </w:r>
    </w:p>
    <w:p w14:paraId="5E3E0A19">
      <w:pPr>
        <w:spacing w:line="560" w:lineRule="exact"/>
        <w:ind w:firstLine="640" w:firstLineChars="200"/>
        <w:outlineLvl w:val="1"/>
        <w:rPr>
          <w:rFonts w:ascii="仿宋" w:hAnsi="仿宋" w:eastAsia="仿宋"/>
          <w:b/>
          <w:sz w:val="32"/>
          <w:szCs w:val="32"/>
        </w:rPr>
      </w:pPr>
      <w:r>
        <w:rPr>
          <w:rFonts w:hint="eastAsia" w:ascii="楷体_GB2312" w:hAnsi="楷体_GB2312" w:eastAsia="楷体_GB2312" w:cs="楷体_GB2312"/>
          <w:sz w:val="32"/>
          <w:szCs w:val="32"/>
        </w:rPr>
        <w:t>（三）资金管理情况分析</w:t>
      </w:r>
    </w:p>
    <w:p w14:paraId="7DEB7801">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1.预算编制科学。我市根据项目预期工作量和测算单价等要素进行预算测算，强化预算评审，保障预算编制科学合理。</w:t>
      </w:r>
    </w:p>
    <w:p w14:paraId="1FD4DEB4">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2.资金使用规范。我市按照预算批复进行资金支出，严格履行资金支付审批审议程序，确保资金支出合规。</w:t>
      </w:r>
    </w:p>
    <w:p w14:paraId="4511CD42">
      <w:pPr>
        <w:spacing w:line="560" w:lineRule="exact"/>
        <w:ind w:firstLine="640" w:firstLineChars="200"/>
        <w:rPr>
          <w:rFonts w:ascii="黑体" w:hAnsi="宋体" w:eastAsia="黑体" w:cs="黑体"/>
          <w:sz w:val="32"/>
          <w:szCs w:val="32"/>
        </w:rPr>
      </w:pPr>
      <w:r>
        <w:rPr>
          <w:rFonts w:hint="eastAsia" w:ascii="黑体" w:hAnsi="宋体" w:eastAsia="黑体" w:cs="黑体"/>
          <w:sz w:val="32"/>
          <w:szCs w:val="32"/>
        </w:rPr>
        <w:t>二、绩效目标实现情况</w:t>
      </w:r>
    </w:p>
    <w:p w14:paraId="1AB45C7F">
      <w:pPr>
        <w:spacing w:line="560" w:lineRule="exact"/>
        <w:ind w:firstLine="640" w:firstLineChars="200"/>
        <w:rPr>
          <w:rFonts w:ascii="楷体_GB2312" w:hAnsi="楷体_GB2312" w:eastAsia="楷体_GB2312" w:cs="楷体_GB2312"/>
          <w:sz w:val="32"/>
          <w:szCs w:val="32"/>
          <w:lang w:bidi="ar"/>
        </w:rPr>
      </w:pPr>
      <w:r>
        <w:rPr>
          <w:rFonts w:hint="eastAsia" w:ascii="楷体_GB2312" w:hAnsi="楷体_GB2312" w:eastAsia="楷体_GB2312" w:cs="楷体_GB2312"/>
          <w:sz w:val="32"/>
          <w:szCs w:val="32"/>
          <w:lang w:bidi="ar"/>
        </w:rPr>
        <w:t>（一）总体绩效目标完成情况分析</w:t>
      </w:r>
    </w:p>
    <w:p w14:paraId="2BF66476">
      <w:pPr>
        <w:spacing w:line="560" w:lineRule="exact"/>
        <w:ind w:firstLine="640" w:firstLineChars="200"/>
        <w:rPr>
          <w:rFonts w:ascii="仿宋_GB2312" w:hAnsi="仿宋_GB2312" w:cs="仿宋_GB2312"/>
        </w:rPr>
      </w:pPr>
      <w:r>
        <w:rPr>
          <w:rFonts w:hint="eastAsia" w:ascii="仿宋_GB2312" w:hAnsi="仿宋_GB2312" w:cs="仿宋_GB2312"/>
          <w:sz w:val="32"/>
          <w:szCs w:val="32"/>
        </w:rPr>
        <w:t>截至2024年底，项目完成了3部模拟发射机、17部数字发射机（含2部备机）的运行维护工作，中央广播电视塔以及各转播站、密云区融媒体中心7个台站的中央广播电视节目设备性能良好，运行状态稳定，实现了中央广播电视节目的安全播出，完成了模拟、数字中央无线广播电视节目的传输覆盖任务，保障了北京市人民群众免费收听收看中央广播电视节目的基本文化权益。</w:t>
      </w:r>
    </w:p>
    <w:p w14:paraId="397D89F9">
      <w:pPr>
        <w:pStyle w:val="3"/>
        <w:spacing w:before="0" w:after="0" w:line="560" w:lineRule="exact"/>
        <w:ind w:firstLine="640" w:firstLineChars="200"/>
        <w:rPr>
          <w:rFonts w:ascii="楷体_GB2312" w:hAnsi="楷体_GB2312" w:eastAsia="楷体_GB2312" w:cs="楷体_GB2312"/>
          <w:b w:val="0"/>
          <w:bCs w:val="0"/>
        </w:rPr>
      </w:pPr>
      <w:r>
        <w:rPr>
          <w:rFonts w:hint="eastAsia" w:ascii="楷体_GB2312" w:hAnsi="楷体_GB2312" w:eastAsia="楷体_GB2312" w:cs="楷体_GB2312"/>
          <w:b w:val="0"/>
          <w:bCs w:val="0"/>
        </w:rPr>
        <w:t>（二）绩效指标完成情况分析</w:t>
      </w:r>
    </w:p>
    <w:p w14:paraId="28255A4C">
      <w:pPr>
        <w:spacing w:line="560" w:lineRule="exact"/>
        <w:ind w:firstLine="643" w:firstLineChars="200"/>
        <w:outlineLvl w:val="2"/>
        <w:rPr>
          <w:rFonts w:ascii="仿宋_GB2312" w:hAnsi="仿宋_GB2312" w:cs="仿宋_GB2312"/>
          <w:b/>
          <w:bCs/>
          <w:sz w:val="32"/>
          <w:szCs w:val="32"/>
        </w:rPr>
      </w:pPr>
      <w:r>
        <w:rPr>
          <w:rFonts w:hint="eastAsia" w:ascii="仿宋_GB2312" w:hAnsi="仿宋_GB2312" w:cs="仿宋_GB2312"/>
          <w:b/>
          <w:bCs/>
          <w:sz w:val="32"/>
          <w:szCs w:val="32"/>
        </w:rPr>
        <w:t>1.产出指标完成情况</w:t>
      </w:r>
    </w:p>
    <w:p w14:paraId="7077B9DA">
      <w:pPr>
        <w:spacing w:line="560" w:lineRule="exact"/>
        <w:ind w:firstLine="643" w:firstLineChars="200"/>
        <w:outlineLvl w:val="3"/>
        <w:rPr>
          <w:rFonts w:ascii="仿宋_GB2312" w:hAnsi="仿宋_GB2312" w:cs="仿宋_GB2312"/>
          <w:b/>
          <w:bCs/>
          <w:sz w:val="32"/>
          <w:szCs w:val="32"/>
        </w:rPr>
      </w:pPr>
      <w:r>
        <w:rPr>
          <w:rFonts w:hint="eastAsia" w:ascii="仿宋_GB2312" w:hAnsi="仿宋_GB2312" w:cs="仿宋_GB2312"/>
          <w:b/>
          <w:bCs/>
          <w:sz w:val="32"/>
          <w:szCs w:val="32"/>
        </w:rPr>
        <w:t>（1）数量指标</w:t>
      </w:r>
    </w:p>
    <w:p w14:paraId="35605DD2">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本年实际产出的运行维护总量达到本年度指标值。</w:t>
      </w:r>
    </w:p>
    <w:p w14:paraId="653A4A1F">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1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①</w:t>
      </w:r>
      <w:r>
        <w:rPr>
          <w:rFonts w:hint="eastAsia" w:ascii="仿宋_GB2312" w:hAnsi="仿宋_GB2312" w:cs="仿宋_GB2312"/>
          <w:sz w:val="32"/>
          <w:szCs w:val="32"/>
        </w:rPr>
        <w:fldChar w:fldCharType="end"/>
      </w:r>
      <w:r>
        <w:rPr>
          <w:rFonts w:hint="eastAsia" w:ascii="仿宋_GB2312" w:hAnsi="仿宋_GB2312" w:cs="仿宋_GB2312"/>
          <w:sz w:val="32"/>
          <w:szCs w:val="32"/>
        </w:rPr>
        <w:t>完成房山、怀柔、延庆3个转播站中央第一套调频广播3部模拟发射机设备的维护工作。</w:t>
      </w:r>
    </w:p>
    <w:p w14:paraId="6A7E7EF3">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2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②</w:t>
      </w:r>
      <w:r>
        <w:rPr>
          <w:rFonts w:hint="eastAsia" w:ascii="仿宋_GB2312" w:hAnsi="仿宋_GB2312" w:cs="仿宋_GB2312"/>
          <w:sz w:val="32"/>
          <w:szCs w:val="32"/>
        </w:rPr>
        <w:fldChar w:fldCharType="end"/>
      </w:r>
      <w:r>
        <w:rPr>
          <w:rFonts w:hint="eastAsia" w:ascii="仿宋_GB2312" w:hAnsi="仿宋_GB2312" w:cs="仿宋_GB2312"/>
          <w:sz w:val="32"/>
          <w:szCs w:val="32"/>
        </w:rPr>
        <w:t>完成房山、平谷、怀柔、密云、延庆转播站及密云区融媒体中心12部地面数字发射机、中央广播电视塔地面数字电视试点工程增加的4部地面数字电视发射机以及1部CDR数字广播发射机，共17部数字发射机的维护工作。</w:t>
      </w:r>
    </w:p>
    <w:p w14:paraId="09ABD8C4">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3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③</w:t>
      </w:r>
      <w:r>
        <w:rPr>
          <w:rFonts w:hint="eastAsia" w:ascii="仿宋_GB2312" w:hAnsi="仿宋_GB2312" w:cs="仿宋_GB2312"/>
          <w:sz w:val="32"/>
          <w:szCs w:val="32"/>
        </w:rPr>
        <w:fldChar w:fldCharType="end"/>
      </w:r>
      <w:r>
        <w:rPr>
          <w:rFonts w:hint="eastAsia" w:ascii="仿宋_GB2312" w:hAnsi="仿宋_GB2312" w:cs="仿宋_GB2312"/>
          <w:sz w:val="32"/>
          <w:szCs w:val="32"/>
        </w:rPr>
        <w:t>通过地面无线模拟，为北京市人民群众收听提供中央第一套调频广播1套。</w:t>
      </w:r>
    </w:p>
    <w:p w14:paraId="358F7A20">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④通过地面数字电视，提供中央第一套、二套、四套、七套、九套、十套、十一套、十二套、十三套、十四套、十五套、CGTN等12套数字电视节目。</w:t>
      </w:r>
    </w:p>
    <w:p w14:paraId="1024F291">
      <w:pPr>
        <w:spacing w:line="560" w:lineRule="exact"/>
        <w:ind w:firstLine="643" w:firstLineChars="200"/>
        <w:outlineLvl w:val="3"/>
        <w:rPr>
          <w:rFonts w:ascii="仿宋_GB2312" w:hAnsi="仿宋_GB2312" w:cs="仿宋_GB2312"/>
          <w:b/>
          <w:bCs/>
          <w:sz w:val="32"/>
          <w:szCs w:val="32"/>
        </w:rPr>
      </w:pPr>
      <w:r>
        <w:rPr>
          <w:rFonts w:hint="eastAsia" w:ascii="仿宋_GB2312" w:hAnsi="仿宋_GB2312" w:cs="仿宋_GB2312"/>
          <w:b/>
          <w:bCs/>
          <w:sz w:val="32"/>
          <w:szCs w:val="32"/>
        </w:rPr>
        <w:t>（2）质量指标</w:t>
      </w:r>
    </w:p>
    <w:p w14:paraId="741A5518">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根据《广播电视安全播出管理规定》（国家广电总局令第62号）标准，严格要求各台站维护单位实施规范化运维管理工作，保证了运维工作服务质量。通过高质量的运维服务，中央广播电视发射设备得到及时维修维护，保证了中央广播电视发射机等设备安全稳定地运行，以及中央广播电视节目在北京地区的稳定播出。实现了模拟发射机“三满”播出率100%与数字发射机“三满”播出率100%工作目标。</w:t>
      </w:r>
    </w:p>
    <w:p w14:paraId="1A115E43">
      <w:pPr>
        <w:spacing w:line="560" w:lineRule="exact"/>
        <w:ind w:firstLine="643" w:firstLineChars="200"/>
        <w:outlineLvl w:val="3"/>
        <w:rPr>
          <w:rFonts w:ascii="仿宋_GB2312" w:hAnsi="仿宋_GB2312" w:cs="仿宋_GB2312"/>
          <w:b/>
          <w:bCs/>
          <w:sz w:val="32"/>
          <w:szCs w:val="32"/>
        </w:rPr>
      </w:pPr>
      <w:r>
        <w:rPr>
          <w:rFonts w:hint="eastAsia" w:ascii="仿宋_GB2312" w:hAnsi="仿宋_GB2312" w:cs="仿宋_GB2312"/>
          <w:b/>
          <w:bCs/>
          <w:sz w:val="32"/>
          <w:szCs w:val="32"/>
        </w:rPr>
        <w:t>（3）时效指标</w:t>
      </w:r>
    </w:p>
    <w:p w14:paraId="42E9B36A">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该项目在实施计划所确定的时限及标准下组织实施。</w:t>
      </w:r>
    </w:p>
    <w:p w14:paraId="527464F8">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1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①</w:t>
      </w:r>
      <w:r>
        <w:rPr>
          <w:rFonts w:hint="eastAsia" w:ascii="仿宋_GB2312" w:hAnsi="仿宋_GB2312" w:cs="仿宋_GB2312"/>
          <w:sz w:val="32"/>
          <w:szCs w:val="32"/>
        </w:rPr>
        <w:fldChar w:fldCharType="end"/>
      </w:r>
      <w:r>
        <w:rPr>
          <w:rFonts w:hint="eastAsia" w:ascii="仿宋_GB2312" w:hAnsi="仿宋_GB2312" w:cs="仿宋_GB2312"/>
          <w:sz w:val="32"/>
          <w:szCs w:val="32"/>
        </w:rPr>
        <w:t>2024年，该项目按照运维设备量及历年下达经费标准，申报运维经费预算196.00万元，资金足额到位196.00万元，资金到位率100%。</w:t>
      </w:r>
    </w:p>
    <w:p w14:paraId="713255AE">
      <w:pPr>
        <w:spacing w:line="560" w:lineRule="exact"/>
        <w:ind w:firstLine="640" w:firstLineChars="200"/>
        <w:rPr>
          <w:rFonts w:ascii="仿宋_GB2312" w:hAnsi="仿宋_GB2312" w:cs="仿宋_GB231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2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②</w:t>
      </w:r>
      <w:r>
        <w:rPr>
          <w:rFonts w:hint="eastAsia" w:ascii="仿宋_GB2312" w:hAnsi="仿宋_GB2312" w:cs="仿宋_GB2312"/>
          <w:sz w:val="32"/>
          <w:szCs w:val="32"/>
        </w:rPr>
        <w:fldChar w:fldCharType="end"/>
      </w:r>
      <w:r>
        <w:rPr>
          <w:rFonts w:hint="eastAsia" w:ascii="仿宋_GB2312" w:hAnsi="仿宋_GB2312" w:cs="仿宋_GB2312"/>
          <w:sz w:val="32"/>
          <w:szCs w:val="32"/>
        </w:rPr>
        <w:t>2024年，中央模拟广播节目播出任务完成率为100%，中央数字广播电视节目播出任务完成率为100%。</w:t>
      </w:r>
    </w:p>
    <w:p w14:paraId="42B7C61A">
      <w:pPr>
        <w:spacing w:line="560" w:lineRule="exact"/>
        <w:ind w:firstLine="643" w:firstLineChars="200"/>
        <w:outlineLvl w:val="2"/>
        <w:rPr>
          <w:rFonts w:ascii="仿宋_GB2312" w:hAnsi="仿宋_GB2312" w:cs="仿宋_GB2312"/>
          <w:b/>
          <w:bCs/>
          <w:sz w:val="32"/>
          <w:szCs w:val="32"/>
        </w:rPr>
      </w:pPr>
      <w:r>
        <w:rPr>
          <w:rFonts w:hint="eastAsia" w:ascii="仿宋_GB2312" w:hAnsi="仿宋_GB2312" w:cs="仿宋_GB2312"/>
          <w:b/>
          <w:bCs/>
          <w:sz w:val="32"/>
          <w:szCs w:val="32"/>
        </w:rPr>
        <w:t>2.效益指标完成情况</w:t>
      </w:r>
    </w:p>
    <w:p w14:paraId="1C393B30">
      <w:pPr>
        <w:autoSpaceDE w:val="0"/>
        <w:autoSpaceDN w:val="0"/>
        <w:adjustRightInd w:val="0"/>
        <w:spacing w:line="560" w:lineRule="exact"/>
        <w:ind w:firstLine="643" w:firstLineChars="200"/>
        <w:outlineLvl w:val="3"/>
        <w:rPr>
          <w:rFonts w:ascii="仿宋_GB2312" w:hAnsi="仿宋_GB2312" w:cs="仿宋_GB2312"/>
          <w:szCs w:val="32"/>
        </w:rPr>
      </w:pPr>
      <w:r>
        <w:rPr>
          <w:rFonts w:hint="eastAsia" w:ascii="仿宋_GB2312" w:hAnsi="仿宋_GB2312" w:cs="仿宋_GB2312"/>
          <w:b/>
          <w:kern w:val="0"/>
          <w:sz w:val="32"/>
          <w:szCs w:val="32"/>
        </w:rPr>
        <w:t>（1）社会效益指标</w:t>
      </w:r>
    </w:p>
    <w:p w14:paraId="5ACE4790">
      <w:pPr>
        <w:spacing w:line="560" w:lineRule="exact"/>
        <w:ind w:firstLine="640" w:firstLineChars="200"/>
        <w:rPr>
          <w:rFonts w:ascii="仿宋_GB2312" w:hAnsi="仿宋_GB2312" w:cs="仿宋_GB2312"/>
          <w:sz w:val="32"/>
          <w:szCs w:val="32"/>
        </w:rPr>
      </w:pPr>
      <w:r>
        <w:rPr>
          <w:rFonts w:hint="eastAsia" w:ascii="仿宋_GB2312" w:hAnsi="仿宋_GB2312" w:cs="仿宋_GB2312"/>
          <w:kern w:val="0"/>
          <w:sz w:val="32"/>
          <w:szCs w:val="32"/>
        </w:rPr>
        <w:t>该项目保障了广播电视发射机等设备安全平稳运行，并充分利用广播电视播出传输覆盖设备等公共文化设施，向北京地区群众提供免费的广播电视节目收听收看服务，</w:t>
      </w:r>
      <w:r>
        <w:rPr>
          <w:rFonts w:hint="eastAsia" w:ascii="仿宋_GB2312" w:hAnsi="仿宋_GB2312" w:cs="仿宋_GB2312"/>
          <w:sz w:val="32"/>
          <w:szCs w:val="32"/>
        </w:rPr>
        <w:t>传播党和政府的声音，广播节目综合人口覆盖率（%）和电视节目综合人口覆盖率（%）均达到100%，</w:t>
      </w:r>
      <w:r>
        <w:rPr>
          <w:rFonts w:hint="eastAsia" w:ascii="仿宋_GB2312" w:hAnsi="仿宋_GB2312" w:cs="仿宋_GB2312"/>
          <w:kern w:val="0"/>
          <w:sz w:val="32"/>
          <w:szCs w:val="32"/>
        </w:rPr>
        <w:t>丰富、改善了人民群众的精神文化生活质量，</w:t>
      </w:r>
      <w:r>
        <w:rPr>
          <w:rFonts w:hint="eastAsia" w:ascii="仿宋_GB2312" w:hAnsi="仿宋_GB2312" w:cs="仿宋_GB2312"/>
          <w:sz w:val="32"/>
          <w:szCs w:val="32"/>
        </w:rPr>
        <w:t>基本公共文化服务水平实现稳步提升，完成年度社会效益指标。</w:t>
      </w:r>
    </w:p>
    <w:p w14:paraId="0B172F63">
      <w:pPr>
        <w:autoSpaceDE w:val="0"/>
        <w:autoSpaceDN w:val="0"/>
        <w:adjustRightInd w:val="0"/>
        <w:spacing w:line="560" w:lineRule="exact"/>
        <w:ind w:firstLine="643" w:firstLineChars="200"/>
        <w:outlineLvl w:val="3"/>
        <w:rPr>
          <w:rFonts w:ascii="仿宋_GB2312" w:hAnsi="仿宋_GB2312" w:cs="仿宋_GB2312"/>
          <w:b/>
          <w:kern w:val="0"/>
          <w:sz w:val="32"/>
          <w:szCs w:val="32"/>
        </w:rPr>
      </w:pPr>
      <w:r>
        <w:rPr>
          <w:rFonts w:hint="eastAsia" w:ascii="仿宋_GB2312" w:hAnsi="仿宋_GB2312" w:cs="仿宋_GB2312"/>
          <w:b/>
          <w:kern w:val="0"/>
          <w:sz w:val="32"/>
          <w:szCs w:val="32"/>
        </w:rPr>
        <w:t>（2）生态效益指标</w:t>
      </w:r>
    </w:p>
    <w:p w14:paraId="4DBC49EA">
      <w:pPr>
        <w:autoSpaceDE w:val="0"/>
        <w:autoSpaceDN w:val="0"/>
        <w:adjustRightInd w:val="0"/>
        <w:spacing w:line="560" w:lineRule="exact"/>
        <w:ind w:firstLine="640" w:firstLineChars="200"/>
        <w:rPr>
          <w:rFonts w:ascii="仿宋_GB2312" w:hAnsi="仿宋_GB2312" w:cs="仿宋_GB2312"/>
          <w:kern w:val="0"/>
          <w:sz w:val="32"/>
          <w:szCs w:val="32"/>
        </w:rPr>
      </w:pPr>
      <w:r>
        <w:rPr>
          <w:rFonts w:hint="eastAsia" w:ascii="仿宋_GB2312" w:hAnsi="仿宋_GB2312" w:cs="仿宋_GB2312"/>
          <w:kern w:val="0"/>
          <w:sz w:val="32"/>
          <w:szCs w:val="32"/>
        </w:rPr>
        <w:t>该项目在执行过程中，严格遵守国家和地方环境保护规定，废水、废气、噪声达标排放，无重大污染事故发生，没有违法和受环境行政处罚的状况。</w:t>
      </w:r>
    </w:p>
    <w:p w14:paraId="34C0D177">
      <w:pPr>
        <w:autoSpaceDE w:val="0"/>
        <w:autoSpaceDN w:val="0"/>
        <w:adjustRightInd w:val="0"/>
        <w:spacing w:line="560" w:lineRule="exact"/>
        <w:ind w:firstLine="643" w:firstLineChars="200"/>
        <w:outlineLvl w:val="3"/>
        <w:rPr>
          <w:rFonts w:ascii="仿宋_GB2312" w:hAnsi="仿宋_GB2312" w:cs="仿宋_GB2312"/>
          <w:b/>
          <w:kern w:val="0"/>
          <w:sz w:val="32"/>
          <w:szCs w:val="32"/>
        </w:rPr>
      </w:pPr>
      <w:r>
        <w:rPr>
          <w:rFonts w:hint="eastAsia" w:ascii="仿宋_GB2312" w:hAnsi="仿宋_GB2312" w:cs="仿宋_GB2312"/>
          <w:b/>
          <w:kern w:val="0"/>
          <w:sz w:val="32"/>
          <w:szCs w:val="32"/>
        </w:rPr>
        <w:t>（3）可持续影响指标</w:t>
      </w:r>
    </w:p>
    <w:p w14:paraId="2E35A8F5">
      <w:pPr>
        <w:spacing w:line="560" w:lineRule="exact"/>
        <w:ind w:firstLine="640" w:firstLineChars="200"/>
        <w:rPr>
          <w:rFonts w:ascii="仿宋_GB2312" w:hAnsi="仿宋_GB2312" w:cs="仿宋_GB2312"/>
          <w:kern w:val="0"/>
          <w:sz w:val="32"/>
          <w:szCs w:val="32"/>
        </w:rPr>
      </w:pPr>
      <w:r>
        <w:rPr>
          <w:rFonts w:hint="eastAsia" w:ascii="仿宋_GB2312" w:hAnsi="仿宋_GB2312" w:cs="仿宋_GB2312"/>
          <w:kern w:val="0"/>
          <w:sz w:val="32"/>
          <w:szCs w:val="32"/>
        </w:rPr>
        <w:t>2024年，各维护单位继续依据</w:t>
      </w:r>
      <w:r>
        <w:rPr>
          <w:rFonts w:hint="eastAsia" w:ascii="仿宋_GB2312" w:hAnsi="仿宋_GB2312" w:cs="仿宋_GB2312"/>
          <w:sz w:val="32"/>
          <w:szCs w:val="32"/>
        </w:rPr>
        <w:t>我市</w:t>
      </w:r>
      <w:r>
        <w:rPr>
          <w:rFonts w:hint="eastAsia" w:ascii="仿宋_GB2312" w:hAnsi="仿宋_GB2312" w:cs="仿宋_GB2312"/>
          <w:kern w:val="0"/>
          <w:sz w:val="32"/>
          <w:szCs w:val="32"/>
        </w:rPr>
        <w:t>《北京市广播电视转播站、行政村发射站运维管理办法（试行）》要求，不断提高运维工作的规范化程度。</w:t>
      </w:r>
      <w:r>
        <w:rPr>
          <w:rFonts w:hint="eastAsia" w:ascii="仿宋_GB2312" w:hAnsi="仿宋_GB2312" w:cs="仿宋_GB2312"/>
          <w:sz w:val="32"/>
          <w:szCs w:val="32"/>
        </w:rPr>
        <w:t>市广电局</w:t>
      </w:r>
      <w:r>
        <w:rPr>
          <w:rFonts w:hint="eastAsia" w:ascii="仿宋_GB2312" w:hAnsi="仿宋_GB2312" w:cs="仿宋_GB2312"/>
          <w:kern w:val="0"/>
          <w:sz w:val="32"/>
          <w:szCs w:val="32"/>
        </w:rPr>
        <w:t>负责监督和指导维护单位执行运维任务，各区融媒体中心及中央广播电视塔管理中心协助开展属地运维管理及监督工作。通过完善维修维护保障机制，强化运维监督管理，加强维护人员培训，组织应急演练，广播电视设备设施得到了长期稳定运行，保证了无线覆盖运行维护工作的可持续性。</w:t>
      </w:r>
    </w:p>
    <w:p w14:paraId="4401D1CD">
      <w:pPr>
        <w:spacing w:line="560" w:lineRule="exact"/>
        <w:ind w:firstLine="643" w:firstLineChars="200"/>
        <w:outlineLvl w:val="2"/>
        <w:rPr>
          <w:rFonts w:ascii="仿宋_GB2312" w:hAnsi="仿宋_GB2312" w:cs="仿宋_GB2312"/>
          <w:b/>
          <w:bCs/>
          <w:sz w:val="32"/>
          <w:szCs w:val="32"/>
        </w:rPr>
      </w:pPr>
      <w:r>
        <w:rPr>
          <w:rFonts w:hint="eastAsia" w:ascii="仿宋_GB2312" w:hAnsi="仿宋_GB2312" w:cs="仿宋_GB2312"/>
          <w:b/>
          <w:bCs/>
          <w:sz w:val="32"/>
          <w:szCs w:val="32"/>
        </w:rPr>
        <w:t>3.满意度指标完成情况</w:t>
      </w:r>
    </w:p>
    <w:p w14:paraId="38370CA4">
      <w:pPr>
        <w:autoSpaceDE w:val="0"/>
        <w:autoSpaceDN w:val="0"/>
        <w:adjustRightInd w:val="0"/>
        <w:spacing w:line="560" w:lineRule="exact"/>
        <w:ind w:firstLine="640" w:firstLineChars="200"/>
        <w:rPr>
          <w:rFonts w:ascii="仿宋_GB2312" w:hAnsi="仿宋_GB2312" w:cs="仿宋_GB2312"/>
          <w:kern w:val="0"/>
          <w:sz w:val="32"/>
          <w:szCs w:val="32"/>
        </w:rPr>
      </w:pPr>
      <w:r>
        <w:rPr>
          <w:rFonts w:hint="eastAsia" w:ascii="仿宋_GB2312" w:hAnsi="仿宋_GB2312" w:cs="仿宋_GB2312"/>
          <w:kern w:val="0"/>
          <w:sz w:val="32"/>
          <w:szCs w:val="32"/>
        </w:rPr>
        <w:t>该项目得到了收听收看群众的支持和肯定，全年未发生群众对广播电视服务进行投诉事件，服务对象满意度100%，超过年初设定的不低于95%的目标。</w:t>
      </w:r>
    </w:p>
    <w:p w14:paraId="1C343427">
      <w:pPr>
        <w:pStyle w:val="2"/>
        <w:widowControl/>
        <w:spacing w:before="0" w:after="0" w:line="560" w:lineRule="exact"/>
        <w:ind w:firstLine="640" w:firstLineChars="200"/>
        <w:rPr>
          <w:rFonts w:ascii="黑体" w:hAnsi="宋体" w:eastAsia="黑体" w:cs="黑体"/>
          <w:b w:val="0"/>
          <w:bCs w:val="0"/>
          <w:sz w:val="32"/>
          <w:szCs w:val="32"/>
        </w:rPr>
      </w:pPr>
      <w:r>
        <w:rPr>
          <w:rFonts w:hint="eastAsia" w:ascii="黑体" w:hAnsi="宋体" w:eastAsia="黑体" w:cs="黑体"/>
          <w:b w:val="0"/>
          <w:bCs w:val="0"/>
          <w:sz w:val="32"/>
          <w:szCs w:val="32"/>
        </w:rPr>
        <w:t>三、绩效自评结论</w:t>
      </w:r>
    </w:p>
    <w:p w14:paraId="62F4BE23">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该项目完成年度维护工作，保障了中央广播电视塔和五个转播站、密云区融媒体中心的中央广播电视发射机正常、平稳运行，保障了北京市中央广播电视节目的正常播出，为北京市人民群众全面及时提供我国内政、外交、民生等重要信息，确保中央新闻、访谈、综艺娱乐等栏目有效传播，在全国两会、中非合作论坛峰会、新中国成立75周年庆祝活动安全播出等方面发挥巨大作用，提升了北京市公共服务效果和水平，提升了广播电视宣传主阵地影响力和传播力。</w:t>
      </w:r>
    </w:p>
    <w:p w14:paraId="3CDD1CCD">
      <w:pPr>
        <w:spacing w:line="560" w:lineRule="exact"/>
        <w:ind w:firstLine="200"/>
        <w:rPr>
          <w:rFonts w:ascii="仿宋_GB2312" w:hAnsi="仿宋_GB2312" w:cs="仿宋_GB2312"/>
          <w:sz w:val="32"/>
          <w:szCs w:val="32"/>
        </w:rPr>
      </w:pPr>
    </w:p>
    <w:sectPr>
      <w:footerReference r:id="rId3"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A6E55">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B239FC">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5</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6B239FC">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5</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hMjIxOTI4ZWQxYzg2MzA4MzBmZTY3MGNiOWJhNDYifQ=="/>
    <w:docVar w:name="KSO_WPS_MARK_KEY" w:val="90ce67d5-ec95-486d-b413-ceabf603d815"/>
  </w:docVars>
  <w:rsids>
    <w:rsidRoot w:val="72DD17AE"/>
    <w:rsid w:val="00000D6F"/>
    <w:rsid w:val="00004DB1"/>
    <w:rsid w:val="00021179"/>
    <w:rsid w:val="00021EB5"/>
    <w:rsid w:val="00025EEB"/>
    <w:rsid w:val="000305BE"/>
    <w:rsid w:val="000310FB"/>
    <w:rsid w:val="000351AA"/>
    <w:rsid w:val="000371F6"/>
    <w:rsid w:val="00046F79"/>
    <w:rsid w:val="00052A6C"/>
    <w:rsid w:val="00055394"/>
    <w:rsid w:val="000607BB"/>
    <w:rsid w:val="00070573"/>
    <w:rsid w:val="00071317"/>
    <w:rsid w:val="000861CF"/>
    <w:rsid w:val="0008720A"/>
    <w:rsid w:val="00091332"/>
    <w:rsid w:val="000946E8"/>
    <w:rsid w:val="000979A2"/>
    <w:rsid w:val="000A3EDD"/>
    <w:rsid w:val="000A4620"/>
    <w:rsid w:val="000A6876"/>
    <w:rsid w:val="000B4C21"/>
    <w:rsid w:val="000B5600"/>
    <w:rsid w:val="000D15CC"/>
    <w:rsid w:val="000D3A0E"/>
    <w:rsid w:val="000D5936"/>
    <w:rsid w:val="000D6506"/>
    <w:rsid w:val="000D6BDC"/>
    <w:rsid w:val="000E0C56"/>
    <w:rsid w:val="000F50A0"/>
    <w:rsid w:val="00106F8B"/>
    <w:rsid w:val="00107AE5"/>
    <w:rsid w:val="00110126"/>
    <w:rsid w:val="00112AD2"/>
    <w:rsid w:val="001144B2"/>
    <w:rsid w:val="00121D7B"/>
    <w:rsid w:val="0012577E"/>
    <w:rsid w:val="00127F29"/>
    <w:rsid w:val="00135D62"/>
    <w:rsid w:val="0013642E"/>
    <w:rsid w:val="001367E1"/>
    <w:rsid w:val="00137340"/>
    <w:rsid w:val="001416E6"/>
    <w:rsid w:val="001434A1"/>
    <w:rsid w:val="001435A8"/>
    <w:rsid w:val="00144089"/>
    <w:rsid w:val="0015007C"/>
    <w:rsid w:val="00152F62"/>
    <w:rsid w:val="00154663"/>
    <w:rsid w:val="00164777"/>
    <w:rsid w:val="00167F66"/>
    <w:rsid w:val="00170CF4"/>
    <w:rsid w:val="0017334D"/>
    <w:rsid w:val="00192516"/>
    <w:rsid w:val="001939E0"/>
    <w:rsid w:val="001A626D"/>
    <w:rsid w:val="001A7B0B"/>
    <w:rsid w:val="001B2BB0"/>
    <w:rsid w:val="001C1FC5"/>
    <w:rsid w:val="001D00AA"/>
    <w:rsid w:val="001D52F2"/>
    <w:rsid w:val="001D74FF"/>
    <w:rsid w:val="001E0654"/>
    <w:rsid w:val="001E2989"/>
    <w:rsid w:val="001E6065"/>
    <w:rsid w:val="001F1727"/>
    <w:rsid w:val="001F3B0E"/>
    <w:rsid w:val="001F484F"/>
    <w:rsid w:val="001F5358"/>
    <w:rsid w:val="002114C1"/>
    <w:rsid w:val="002267B1"/>
    <w:rsid w:val="002273D0"/>
    <w:rsid w:val="00230F98"/>
    <w:rsid w:val="00231144"/>
    <w:rsid w:val="00231C59"/>
    <w:rsid w:val="002419C9"/>
    <w:rsid w:val="00242403"/>
    <w:rsid w:val="00250080"/>
    <w:rsid w:val="002557D2"/>
    <w:rsid w:val="00264E29"/>
    <w:rsid w:val="00265640"/>
    <w:rsid w:val="002664C4"/>
    <w:rsid w:val="00266FD5"/>
    <w:rsid w:val="00271B39"/>
    <w:rsid w:val="002735CD"/>
    <w:rsid w:val="002757AC"/>
    <w:rsid w:val="002762E1"/>
    <w:rsid w:val="00277B03"/>
    <w:rsid w:val="00285758"/>
    <w:rsid w:val="00286921"/>
    <w:rsid w:val="00287CD2"/>
    <w:rsid w:val="00292D0E"/>
    <w:rsid w:val="002978DB"/>
    <w:rsid w:val="002A3A41"/>
    <w:rsid w:val="002A629F"/>
    <w:rsid w:val="002A6350"/>
    <w:rsid w:val="002B1653"/>
    <w:rsid w:val="002C0603"/>
    <w:rsid w:val="002D5F64"/>
    <w:rsid w:val="002E2080"/>
    <w:rsid w:val="002E76C7"/>
    <w:rsid w:val="002F28C8"/>
    <w:rsid w:val="00300115"/>
    <w:rsid w:val="00302209"/>
    <w:rsid w:val="00303FFF"/>
    <w:rsid w:val="0031135A"/>
    <w:rsid w:val="003125DA"/>
    <w:rsid w:val="00317522"/>
    <w:rsid w:val="00317BEA"/>
    <w:rsid w:val="00320B63"/>
    <w:rsid w:val="00321D4E"/>
    <w:rsid w:val="00330BD9"/>
    <w:rsid w:val="0033362F"/>
    <w:rsid w:val="00334EE5"/>
    <w:rsid w:val="00336FB1"/>
    <w:rsid w:val="0034482F"/>
    <w:rsid w:val="00352D02"/>
    <w:rsid w:val="00355E0C"/>
    <w:rsid w:val="00355F89"/>
    <w:rsid w:val="003562BF"/>
    <w:rsid w:val="00357A01"/>
    <w:rsid w:val="00357B10"/>
    <w:rsid w:val="00360AE8"/>
    <w:rsid w:val="003678C0"/>
    <w:rsid w:val="00374E40"/>
    <w:rsid w:val="0037704E"/>
    <w:rsid w:val="00383130"/>
    <w:rsid w:val="003A0AAB"/>
    <w:rsid w:val="003A12EE"/>
    <w:rsid w:val="003A5D75"/>
    <w:rsid w:val="003A74B0"/>
    <w:rsid w:val="003B207A"/>
    <w:rsid w:val="003B5E88"/>
    <w:rsid w:val="003C346C"/>
    <w:rsid w:val="003D14AB"/>
    <w:rsid w:val="003D189A"/>
    <w:rsid w:val="003D2382"/>
    <w:rsid w:val="003E0946"/>
    <w:rsid w:val="003E0A3C"/>
    <w:rsid w:val="003E21A5"/>
    <w:rsid w:val="003E627E"/>
    <w:rsid w:val="003E78B0"/>
    <w:rsid w:val="003F21AB"/>
    <w:rsid w:val="003F65CE"/>
    <w:rsid w:val="003F7A5D"/>
    <w:rsid w:val="0040224A"/>
    <w:rsid w:val="00402AC7"/>
    <w:rsid w:val="00403011"/>
    <w:rsid w:val="00404B28"/>
    <w:rsid w:val="00404BE3"/>
    <w:rsid w:val="00405E9C"/>
    <w:rsid w:val="00406508"/>
    <w:rsid w:val="00407435"/>
    <w:rsid w:val="00410B31"/>
    <w:rsid w:val="004166B7"/>
    <w:rsid w:val="00420189"/>
    <w:rsid w:val="00420994"/>
    <w:rsid w:val="004222E2"/>
    <w:rsid w:val="004269DB"/>
    <w:rsid w:val="00430C09"/>
    <w:rsid w:val="00433A53"/>
    <w:rsid w:val="00435EAD"/>
    <w:rsid w:val="00446DA1"/>
    <w:rsid w:val="00451CBE"/>
    <w:rsid w:val="0045209B"/>
    <w:rsid w:val="00452367"/>
    <w:rsid w:val="00452872"/>
    <w:rsid w:val="00453EC8"/>
    <w:rsid w:val="0045474A"/>
    <w:rsid w:val="00455C54"/>
    <w:rsid w:val="004635A0"/>
    <w:rsid w:val="00463FD3"/>
    <w:rsid w:val="004658F9"/>
    <w:rsid w:val="00473B92"/>
    <w:rsid w:val="00476544"/>
    <w:rsid w:val="004767D5"/>
    <w:rsid w:val="0048065F"/>
    <w:rsid w:val="004813B0"/>
    <w:rsid w:val="004849F6"/>
    <w:rsid w:val="00490387"/>
    <w:rsid w:val="00496AB4"/>
    <w:rsid w:val="00496F40"/>
    <w:rsid w:val="004B5508"/>
    <w:rsid w:val="004B5BA4"/>
    <w:rsid w:val="004B6649"/>
    <w:rsid w:val="004C0F12"/>
    <w:rsid w:val="004C422F"/>
    <w:rsid w:val="004C4D35"/>
    <w:rsid w:val="004D0D12"/>
    <w:rsid w:val="004D1967"/>
    <w:rsid w:val="004E108B"/>
    <w:rsid w:val="004E325E"/>
    <w:rsid w:val="004E5B12"/>
    <w:rsid w:val="004E6884"/>
    <w:rsid w:val="004E6CD3"/>
    <w:rsid w:val="004F399F"/>
    <w:rsid w:val="004F5847"/>
    <w:rsid w:val="004F5C77"/>
    <w:rsid w:val="004F6B65"/>
    <w:rsid w:val="004F74F8"/>
    <w:rsid w:val="00502E3A"/>
    <w:rsid w:val="00507DA5"/>
    <w:rsid w:val="0051170D"/>
    <w:rsid w:val="00511BF7"/>
    <w:rsid w:val="00513693"/>
    <w:rsid w:val="00515D57"/>
    <w:rsid w:val="005206A5"/>
    <w:rsid w:val="00522A01"/>
    <w:rsid w:val="00530653"/>
    <w:rsid w:val="00532B69"/>
    <w:rsid w:val="005342D9"/>
    <w:rsid w:val="0053529D"/>
    <w:rsid w:val="00542549"/>
    <w:rsid w:val="0054577A"/>
    <w:rsid w:val="00545D7C"/>
    <w:rsid w:val="00550330"/>
    <w:rsid w:val="005543D5"/>
    <w:rsid w:val="005566D6"/>
    <w:rsid w:val="005569F3"/>
    <w:rsid w:val="00561679"/>
    <w:rsid w:val="005670A5"/>
    <w:rsid w:val="00570AAA"/>
    <w:rsid w:val="005723C3"/>
    <w:rsid w:val="00573DE1"/>
    <w:rsid w:val="0057698C"/>
    <w:rsid w:val="0058130B"/>
    <w:rsid w:val="00581A7C"/>
    <w:rsid w:val="00590565"/>
    <w:rsid w:val="00595221"/>
    <w:rsid w:val="00595779"/>
    <w:rsid w:val="00596EEC"/>
    <w:rsid w:val="005A0EB0"/>
    <w:rsid w:val="005A2CED"/>
    <w:rsid w:val="005B5ECD"/>
    <w:rsid w:val="005B6F0C"/>
    <w:rsid w:val="005C1343"/>
    <w:rsid w:val="005C40E3"/>
    <w:rsid w:val="005C4418"/>
    <w:rsid w:val="005C4CE4"/>
    <w:rsid w:val="005C5283"/>
    <w:rsid w:val="005C6B9B"/>
    <w:rsid w:val="005E476A"/>
    <w:rsid w:val="005F030C"/>
    <w:rsid w:val="005F514A"/>
    <w:rsid w:val="006138BC"/>
    <w:rsid w:val="0061746D"/>
    <w:rsid w:val="00622A71"/>
    <w:rsid w:val="00622FEC"/>
    <w:rsid w:val="006250E6"/>
    <w:rsid w:val="00640F56"/>
    <w:rsid w:val="00641B4F"/>
    <w:rsid w:val="00653359"/>
    <w:rsid w:val="00664C36"/>
    <w:rsid w:val="00673914"/>
    <w:rsid w:val="00674969"/>
    <w:rsid w:val="00677615"/>
    <w:rsid w:val="0067791F"/>
    <w:rsid w:val="00684378"/>
    <w:rsid w:val="0069121F"/>
    <w:rsid w:val="0069126F"/>
    <w:rsid w:val="006932F6"/>
    <w:rsid w:val="006957E1"/>
    <w:rsid w:val="00695BD6"/>
    <w:rsid w:val="00697260"/>
    <w:rsid w:val="006A09F9"/>
    <w:rsid w:val="006A19F9"/>
    <w:rsid w:val="006A54D3"/>
    <w:rsid w:val="006B2A8A"/>
    <w:rsid w:val="006C042C"/>
    <w:rsid w:val="006C1BB7"/>
    <w:rsid w:val="006C6DB1"/>
    <w:rsid w:val="006D3AC7"/>
    <w:rsid w:val="006D67AC"/>
    <w:rsid w:val="006E0DB2"/>
    <w:rsid w:val="006E15AE"/>
    <w:rsid w:val="006E7F6F"/>
    <w:rsid w:val="006F0226"/>
    <w:rsid w:val="006F4369"/>
    <w:rsid w:val="007032C1"/>
    <w:rsid w:val="00704715"/>
    <w:rsid w:val="0070591B"/>
    <w:rsid w:val="00706318"/>
    <w:rsid w:val="007102B9"/>
    <w:rsid w:val="0071339D"/>
    <w:rsid w:val="00714BD9"/>
    <w:rsid w:val="00715596"/>
    <w:rsid w:val="00715AF8"/>
    <w:rsid w:val="00721335"/>
    <w:rsid w:val="00726D36"/>
    <w:rsid w:val="00734BC8"/>
    <w:rsid w:val="00737611"/>
    <w:rsid w:val="007461AA"/>
    <w:rsid w:val="00747BBF"/>
    <w:rsid w:val="00750896"/>
    <w:rsid w:val="00751C20"/>
    <w:rsid w:val="00754445"/>
    <w:rsid w:val="007613FE"/>
    <w:rsid w:val="007614C5"/>
    <w:rsid w:val="007622F6"/>
    <w:rsid w:val="00762661"/>
    <w:rsid w:val="00771D83"/>
    <w:rsid w:val="00775BFB"/>
    <w:rsid w:val="00775D80"/>
    <w:rsid w:val="00782D61"/>
    <w:rsid w:val="0078386D"/>
    <w:rsid w:val="00784B84"/>
    <w:rsid w:val="00786544"/>
    <w:rsid w:val="00791B31"/>
    <w:rsid w:val="00793244"/>
    <w:rsid w:val="00795CD1"/>
    <w:rsid w:val="00795F4E"/>
    <w:rsid w:val="0079709A"/>
    <w:rsid w:val="007A373B"/>
    <w:rsid w:val="007B18A6"/>
    <w:rsid w:val="007C4928"/>
    <w:rsid w:val="007D03D0"/>
    <w:rsid w:val="007D1F09"/>
    <w:rsid w:val="007D6E3F"/>
    <w:rsid w:val="007E1DA3"/>
    <w:rsid w:val="007E28D6"/>
    <w:rsid w:val="007E338D"/>
    <w:rsid w:val="007E423B"/>
    <w:rsid w:val="007F16C1"/>
    <w:rsid w:val="007F359A"/>
    <w:rsid w:val="007F54B7"/>
    <w:rsid w:val="00801D0D"/>
    <w:rsid w:val="008029EA"/>
    <w:rsid w:val="008041B4"/>
    <w:rsid w:val="00821744"/>
    <w:rsid w:val="0082247D"/>
    <w:rsid w:val="0083494E"/>
    <w:rsid w:val="00846A95"/>
    <w:rsid w:val="0085033B"/>
    <w:rsid w:val="00853508"/>
    <w:rsid w:val="00853604"/>
    <w:rsid w:val="0085366E"/>
    <w:rsid w:val="00854535"/>
    <w:rsid w:val="00854F4C"/>
    <w:rsid w:val="0085636E"/>
    <w:rsid w:val="00866BBB"/>
    <w:rsid w:val="00873F7C"/>
    <w:rsid w:val="00876A73"/>
    <w:rsid w:val="00886016"/>
    <w:rsid w:val="00887EE7"/>
    <w:rsid w:val="00893417"/>
    <w:rsid w:val="00896381"/>
    <w:rsid w:val="0089734B"/>
    <w:rsid w:val="008A1A53"/>
    <w:rsid w:val="008B4D08"/>
    <w:rsid w:val="008C7FC9"/>
    <w:rsid w:val="008D3546"/>
    <w:rsid w:val="008E04B3"/>
    <w:rsid w:val="008E0C4A"/>
    <w:rsid w:val="008E5F1E"/>
    <w:rsid w:val="008F2CC2"/>
    <w:rsid w:val="0091403A"/>
    <w:rsid w:val="00915E51"/>
    <w:rsid w:val="009167E7"/>
    <w:rsid w:val="00926734"/>
    <w:rsid w:val="00930EE0"/>
    <w:rsid w:val="00931924"/>
    <w:rsid w:val="00936C85"/>
    <w:rsid w:val="00940A8B"/>
    <w:rsid w:val="00941B7C"/>
    <w:rsid w:val="009421C4"/>
    <w:rsid w:val="009443CC"/>
    <w:rsid w:val="009462D8"/>
    <w:rsid w:val="009511EF"/>
    <w:rsid w:val="00955856"/>
    <w:rsid w:val="00957486"/>
    <w:rsid w:val="00957732"/>
    <w:rsid w:val="00961377"/>
    <w:rsid w:val="0096482D"/>
    <w:rsid w:val="0096500F"/>
    <w:rsid w:val="009662BC"/>
    <w:rsid w:val="00967B73"/>
    <w:rsid w:val="00973BFC"/>
    <w:rsid w:val="00976182"/>
    <w:rsid w:val="009776EB"/>
    <w:rsid w:val="00980620"/>
    <w:rsid w:val="009844C7"/>
    <w:rsid w:val="00985CD9"/>
    <w:rsid w:val="00990288"/>
    <w:rsid w:val="009907EE"/>
    <w:rsid w:val="009A1362"/>
    <w:rsid w:val="009A68FE"/>
    <w:rsid w:val="009B0355"/>
    <w:rsid w:val="009B04B8"/>
    <w:rsid w:val="009B5BA9"/>
    <w:rsid w:val="009C58DC"/>
    <w:rsid w:val="009C6638"/>
    <w:rsid w:val="009D0C5E"/>
    <w:rsid w:val="009D67C1"/>
    <w:rsid w:val="009D7762"/>
    <w:rsid w:val="009E2815"/>
    <w:rsid w:val="009E3B2D"/>
    <w:rsid w:val="009E4D8D"/>
    <w:rsid w:val="009E5940"/>
    <w:rsid w:val="00A073ED"/>
    <w:rsid w:val="00A109E1"/>
    <w:rsid w:val="00A134AF"/>
    <w:rsid w:val="00A13DBC"/>
    <w:rsid w:val="00A161EA"/>
    <w:rsid w:val="00A16FD0"/>
    <w:rsid w:val="00A20B8B"/>
    <w:rsid w:val="00A2133F"/>
    <w:rsid w:val="00A2792F"/>
    <w:rsid w:val="00A3043E"/>
    <w:rsid w:val="00A32AE5"/>
    <w:rsid w:val="00A32B19"/>
    <w:rsid w:val="00A3336E"/>
    <w:rsid w:val="00A4078C"/>
    <w:rsid w:val="00A45374"/>
    <w:rsid w:val="00A5087A"/>
    <w:rsid w:val="00A5604F"/>
    <w:rsid w:val="00A5779C"/>
    <w:rsid w:val="00A66F70"/>
    <w:rsid w:val="00A7053A"/>
    <w:rsid w:val="00A7106C"/>
    <w:rsid w:val="00A71178"/>
    <w:rsid w:val="00A71A7F"/>
    <w:rsid w:val="00A72C48"/>
    <w:rsid w:val="00A77E7E"/>
    <w:rsid w:val="00A80F88"/>
    <w:rsid w:val="00A81A37"/>
    <w:rsid w:val="00A82A00"/>
    <w:rsid w:val="00A84CA2"/>
    <w:rsid w:val="00A94151"/>
    <w:rsid w:val="00A94417"/>
    <w:rsid w:val="00A9454A"/>
    <w:rsid w:val="00AA00CE"/>
    <w:rsid w:val="00AA137F"/>
    <w:rsid w:val="00AC5F19"/>
    <w:rsid w:val="00AC61BE"/>
    <w:rsid w:val="00AC6E55"/>
    <w:rsid w:val="00AD268C"/>
    <w:rsid w:val="00AD530D"/>
    <w:rsid w:val="00AE1A46"/>
    <w:rsid w:val="00AE2852"/>
    <w:rsid w:val="00AF002A"/>
    <w:rsid w:val="00AF13A1"/>
    <w:rsid w:val="00AF1883"/>
    <w:rsid w:val="00AF3BD6"/>
    <w:rsid w:val="00AF41FF"/>
    <w:rsid w:val="00B00D3D"/>
    <w:rsid w:val="00B11CEF"/>
    <w:rsid w:val="00B130B6"/>
    <w:rsid w:val="00B134A6"/>
    <w:rsid w:val="00B171E7"/>
    <w:rsid w:val="00B22668"/>
    <w:rsid w:val="00B264BE"/>
    <w:rsid w:val="00B319DB"/>
    <w:rsid w:val="00B32FCB"/>
    <w:rsid w:val="00B34A00"/>
    <w:rsid w:val="00B3766F"/>
    <w:rsid w:val="00B40473"/>
    <w:rsid w:val="00B42896"/>
    <w:rsid w:val="00B44D22"/>
    <w:rsid w:val="00B47066"/>
    <w:rsid w:val="00B47D34"/>
    <w:rsid w:val="00B509D5"/>
    <w:rsid w:val="00B52AC5"/>
    <w:rsid w:val="00B63056"/>
    <w:rsid w:val="00B643BB"/>
    <w:rsid w:val="00B655A2"/>
    <w:rsid w:val="00B710FF"/>
    <w:rsid w:val="00B73053"/>
    <w:rsid w:val="00B74BE5"/>
    <w:rsid w:val="00B763AD"/>
    <w:rsid w:val="00B86433"/>
    <w:rsid w:val="00B921D2"/>
    <w:rsid w:val="00B96871"/>
    <w:rsid w:val="00BA06A8"/>
    <w:rsid w:val="00BA687C"/>
    <w:rsid w:val="00BA7AF8"/>
    <w:rsid w:val="00BB082C"/>
    <w:rsid w:val="00BB2F1F"/>
    <w:rsid w:val="00BB4E50"/>
    <w:rsid w:val="00BB7510"/>
    <w:rsid w:val="00BD1C29"/>
    <w:rsid w:val="00BE6AB1"/>
    <w:rsid w:val="00BF22BF"/>
    <w:rsid w:val="00BF2D1C"/>
    <w:rsid w:val="00BF7F8A"/>
    <w:rsid w:val="00C00AB7"/>
    <w:rsid w:val="00C0436F"/>
    <w:rsid w:val="00C04650"/>
    <w:rsid w:val="00C04EB3"/>
    <w:rsid w:val="00C22ABF"/>
    <w:rsid w:val="00C25985"/>
    <w:rsid w:val="00C27B47"/>
    <w:rsid w:val="00C32317"/>
    <w:rsid w:val="00C33CAC"/>
    <w:rsid w:val="00C349DF"/>
    <w:rsid w:val="00C3578E"/>
    <w:rsid w:val="00C42B66"/>
    <w:rsid w:val="00C5316D"/>
    <w:rsid w:val="00C56FF6"/>
    <w:rsid w:val="00C634E9"/>
    <w:rsid w:val="00C70B5D"/>
    <w:rsid w:val="00C70E4D"/>
    <w:rsid w:val="00C70FE6"/>
    <w:rsid w:val="00C713F4"/>
    <w:rsid w:val="00C71DE6"/>
    <w:rsid w:val="00C72D6F"/>
    <w:rsid w:val="00C73035"/>
    <w:rsid w:val="00C76C1A"/>
    <w:rsid w:val="00C7766D"/>
    <w:rsid w:val="00C86F7E"/>
    <w:rsid w:val="00C90B5C"/>
    <w:rsid w:val="00C93E01"/>
    <w:rsid w:val="00C97548"/>
    <w:rsid w:val="00CB059D"/>
    <w:rsid w:val="00CB0A54"/>
    <w:rsid w:val="00CB0FA9"/>
    <w:rsid w:val="00CB2BA0"/>
    <w:rsid w:val="00CB58D3"/>
    <w:rsid w:val="00CB6E9D"/>
    <w:rsid w:val="00CC006A"/>
    <w:rsid w:val="00CC12AE"/>
    <w:rsid w:val="00CC2208"/>
    <w:rsid w:val="00CC300A"/>
    <w:rsid w:val="00CD087B"/>
    <w:rsid w:val="00CD1B81"/>
    <w:rsid w:val="00CD1C64"/>
    <w:rsid w:val="00CD6C1F"/>
    <w:rsid w:val="00CD7F63"/>
    <w:rsid w:val="00CE131D"/>
    <w:rsid w:val="00CE3E64"/>
    <w:rsid w:val="00CE66F6"/>
    <w:rsid w:val="00CE672A"/>
    <w:rsid w:val="00CF2B5D"/>
    <w:rsid w:val="00CF472E"/>
    <w:rsid w:val="00CF4EE1"/>
    <w:rsid w:val="00D05ABE"/>
    <w:rsid w:val="00D072B4"/>
    <w:rsid w:val="00D11C89"/>
    <w:rsid w:val="00D13165"/>
    <w:rsid w:val="00D175B7"/>
    <w:rsid w:val="00D3537B"/>
    <w:rsid w:val="00D4272A"/>
    <w:rsid w:val="00D45ECD"/>
    <w:rsid w:val="00D51418"/>
    <w:rsid w:val="00D53BB1"/>
    <w:rsid w:val="00D61D85"/>
    <w:rsid w:val="00D64881"/>
    <w:rsid w:val="00D7020A"/>
    <w:rsid w:val="00D74F88"/>
    <w:rsid w:val="00D82371"/>
    <w:rsid w:val="00D854CA"/>
    <w:rsid w:val="00D87546"/>
    <w:rsid w:val="00D90491"/>
    <w:rsid w:val="00D9279D"/>
    <w:rsid w:val="00D928C4"/>
    <w:rsid w:val="00D95A03"/>
    <w:rsid w:val="00DA0B6D"/>
    <w:rsid w:val="00DA1C32"/>
    <w:rsid w:val="00DB4C94"/>
    <w:rsid w:val="00DB5FAE"/>
    <w:rsid w:val="00DC437F"/>
    <w:rsid w:val="00DC6071"/>
    <w:rsid w:val="00DD05CE"/>
    <w:rsid w:val="00DE0E4B"/>
    <w:rsid w:val="00DE12D5"/>
    <w:rsid w:val="00DE3797"/>
    <w:rsid w:val="00DE3C21"/>
    <w:rsid w:val="00DE6DFD"/>
    <w:rsid w:val="00DF42BD"/>
    <w:rsid w:val="00DF4B02"/>
    <w:rsid w:val="00DF700B"/>
    <w:rsid w:val="00E00F14"/>
    <w:rsid w:val="00E0182A"/>
    <w:rsid w:val="00E03DA2"/>
    <w:rsid w:val="00E05F0D"/>
    <w:rsid w:val="00E22A58"/>
    <w:rsid w:val="00E22D3F"/>
    <w:rsid w:val="00E23DA4"/>
    <w:rsid w:val="00E317DC"/>
    <w:rsid w:val="00E34912"/>
    <w:rsid w:val="00E37349"/>
    <w:rsid w:val="00E4123D"/>
    <w:rsid w:val="00E4506F"/>
    <w:rsid w:val="00E80DAC"/>
    <w:rsid w:val="00E814DA"/>
    <w:rsid w:val="00E8675F"/>
    <w:rsid w:val="00E87BA6"/>
    <w:rsid w:val="00E9436D"/>
    <w:rsid w:val="00EA4AFB"/>
    <w:rsid w:val="00EB388A"/>
    <w:rsid w:val="00EB5F4B"/>
    <w:rsid w:val="00EB66EB"/>
    <w:rsid w:val="00EB79C6"/>
    <w:rsid w:val="00EC1654"/>
    <w:rsid w:val="00EC6963"/>
    <w:rsid w:val="00ED3D21"/>
    <w:rsid w:val="00ED424B"/>
    <w:rsid w:val="00EE2B1B"/>
    <w:rsid w:val="00EE67B9"/>
    <w:rsid w:val="00EF2597"/>
    <w:rsid w:val="00EF2CC6"/>
    <w:rsid w:val="00EF2F81"/>
    <w:rsid w:val="00F03151"/>
    <w:rsid w:val="00F04B34"/>
    <w:rsid w:val="00F05AD8"/>
    <w:rsid w:val="00F1129E"/>
    <w:rsid w:val="00F115FB"/>
    <w:rsid w:val="00F14731"/>
    <w:rsid w:val="00F1576F"/>
    <w:rsid w:val="00F17439"/>
    <w:rsid w:val="00F20BD7"/>
    <w:rsid w:val="00F2213D"/>
    <w:rsid w:val="00F234AD"/>
    <w:rsid w:val="00F2778B"/>
    <w:rsid w:val="00F32E10"/>
    <w:rsid w:val="00F52392"/>
    <w:rsid w:val="00F54CF4"/>
    <w:rsid w:val="00F56A86"/>
    <w:rsid w:val="00F60BB9"/>
    <w:rsid w:val="00F6499D"/>
    <w:rsid w:val="00F656AF"/>
    <w:rsid w:val="00F75BCE"/>
    <w:rsid w:val="00F767EB"/>
    <w:rsid w:val="00F828DC"/>
    <w:rsid w:val="00F8295E"/>
    <w:rsid w:val="00F86ABB"/>
    <w:rsid w:val="00F878CE"/>
    <w:rsid w:val="00F87F0C"/>
    <w:rsid w:val="00F9064F"/>
    <w:rsid w:val="00F90C4D"/>
    <w:rsid w:val="00F92EE8"/>
    <w:rsid w:val="00F95A4F"/>
    <w:rsid w:val="00F961C8"/>
    <w:rsid w:val="00FA0720"/>
    <w:rsid w:val="00FA4A89"/>
    <w:rsid w:val="00FC4E6F"/>
    <w:rsid w:val="00FD4C3C"/>
    <w:rsid w:val="00FD513B"/>
    <w:rsid w:val="00FE05A0"/>
    <w:rsid w:val="00FE7F0D"/>
    <w:rsid w:val="00FF2F23"/>
    <w:rsid w:val="01DA0B87"/>
    <w:rsid w:val="03A631BC"/>
    <w:rsid w:val="0486237A"/>
    <w:rsid w:val="06257970"/>
    <w:rsid w:val="07115821"/>
    <w:rsid w:val="0C4D1982"/>
    <w:rsid w:val="0F3C47BF"/>
    <w:rsid w:val="1212349F"/>
    <w:rsid w:val="1514752E"/>
    <w:rsid w:val="18FD17EB"/>
    <w:rsid w:val="1ADB76D0"/>
    <w:rsid w:val="1AF90569"/>
    <w:rsid w:val="1CA9190C"/>
    <w:rsid w:val="1FC74F4B"/>
    <w:rsid w:val="26827516"/>
    <w:rsid w:val="270F0394"/>
    <w:rsid w:val="27BA3F65"/>
    <w:rsid w:val="283B2585"/>
    <w:rsid w:val="284F12A1"/>
    <w:rsid w:val="2EB35BCE"/>
    <w:rsid w:val="2EB55486"/>
    <w:rsid w:val="2F827A5E"/>
    <w:rsid w:val="2FEB209C"/>
    <w:rsid w:val="319A0963"/>
    <w:rsid w:val="32285F6F"/>
    <w:rsid w:val="34171ABD"/>
    <w:rsid w:val="346E3CF6"/>
    <w:rsid w:val="34BA3450"/>
    <w:rsid w:val="38156481"/>
    <w:rsid w:val="382611A3"/>
    <w:rsid w:val="39714369"/>
    <w:rsid w:val="39BF093C"/>
    <w:rsid w:val="3FB77B8C"/>
    <w:rsid w:val="405C4978"/>
    <w:rsid w:val="41BB012D"/>
    <w:rsid w:val="45025B55"/>
    <w:rsid w:val="451F1453"/>
    <w:rsid w:val="46FC71A4"/>
    <w:rsid w:val="470A3313"/>
    <w:rsid w:val="49ED02C2"/>
    <w:rsid w:val="4CCA6149"/>
    <w:rsid w:val="513F02E2"/>
    <w:rsid w:val="59293411"/>
    <w:rsid w:val="59C27C48"/>
    <w:rsid w:val="63C16B14"/>
    <w:rsid w:val="65106020"/>
    <w:rsid w:val="687652F1"/>
    <w:rsid w:val="698A5A3E"/>
    <w:rsid w:val="6D3975CA"/>
    <w:rsid w:val="70942B49"/>
    <w:rsid w:val="72D06CB3"/>
    <w:rsid w:val="72DD17AE"/>
    <w:rsid w:val="73920EBF"/>
    <w:rsid w:val="755C069B"/>
    <w:rsid w:val="77DFB01B"/>
    <w:rsid w:val="79AE4579"/>
    <w:rsid w:val="7A552C46"/>
    <w:rsid w:val="7BEB6924"/>
    <w:rsid w:val="7F45772D"/>
    <w:rsid w:val="7F5E5925"/>
    <w:rsid w:val="7FDFC02F"/>
    <w:rsid w:val="B16F4FFF"/>
    <w:rsid w:val="BF7E09F9"/>
    <w:rsid w:val="BFF8F1A1"/>
    <w:rsid w:val="DF373973"/>
    <w:rsid w:val="DF87C5A7"/>
    <w:rsid w:val="E2FFF73C"/>
    <w:rsid w:val="EAFFE266"/>
    <w:rsid w:val="FABF9D3F"/>
    <w:rsid w:val="FB1DCC1F"/>
    <w:rsid w:val="FFBEEB8E"/>
    <w:rsid w:val="FFFC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2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0"/>
    <w:pPr>
      <w:keepNext/>
      <w:keepLines/>
      <w:spacing w:before="260" w:after="260" w:line="416" w:lineRule="auto"/>
      <w:outlineLvl w:val="1"/>
    </w:pPr>
    <w:rPr>
      <w:rFonts w:ascii="Cambria" w:hAnsi="Cambria" w:eastAsia="宋体"/>
      <w:b/>
      <w:bCs/>
      <w:sz w:val="32"/>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qFormat/>
    <w:uiPriority w:val="0"/>
    <w:pPr>
      <w:ind w:left="1800"/>
      <w:jc w:val="left"/>
    </w:pPr>
    <w:rPr>
      <w:rFonts w:ascii="Calibri" w:hAnsi="Calibri" w:cs="Calibri"/>
      <w:sz w:val="18"/>
      <w:szCs w:val="18"/>
    </w:rPr>
  </w:style>
  <w:style w:type="paragraph" w:styleId="5">
    <w:name w:val="annotation text"/>
    <w:basedOn w:val="1"/>
    <w:link w:val="25"/>
    <w:qFormat/>
    <w:uiPriority w:val="0"/>
    <w:pPr>
      <w:jc w:val="left"/>
    </w:pPr>
  </w:style>
  <w:style w:type="paragraph" w:styleId="6">
    <w:name w:val="toc 5"/>
    <w:basedOn w:val="1"/>
    <w:next w:val="1"/>
    <w:qFormat/>
    <w:uiPriority w:val="0"/>
    <w:pPr>
      <w:ind w:left="1200"/>
      <w:jc w:val="left"/>
    </w:pPr>
    <w:rPr>
      <w:rFonts w:ascii="Calibri" w:hAnsi="Calibri" w:cs="Calibri"/>
      <w:sz w:val="18"/>
      <w:szCs w:val="18"/>
    </w:rPr>
  </w:style>
  <w:style w:type="paragraph" w:styleId="7">
    <w:name w:val="toc 3"/>
    <w:basedOn w:val="1"/>
    <w:next w:val="1"/>
    <w:qFormat/>
    <w:uiPriority w:val="0"/>
    <w:pPr>
      <w:ind w:left="600"/>
      <w:jc w:val="left"/>
    </w:pPr>
    <w:rPr>
      <w:rFonts w:ascii="Calibri" w:hAnsi="Calibri" w:cs="Calibri"/>
      <w:i/>
      <w:iCs/>
      <w:sz w:val="20"/>
      <w:szCs w:val="20"/>
    </w:rPr>
  </w:style>
  <w:style w:type="paragraph" w:styleId="8">
    <w:name w:val="toc 8"/>
    <w:basedOn w:val="1"/>
    <w:next w:val="1"/>
    <w:qFormat/>
    <w:uiPriority w:val="0"/>
    <w:pPr>
      <w:ind w:left="2100"/>
      <w:jc w:val="left"/>
    </w:pPr>
    <w:rPr>
      <w:rFonts w:ascii="Calibri" w:hAnsi="Calibri" w:cs="Calibri"/>
      <w:sz w:val="18"/>
      <w:szCs w:val="18"/>
    </w:rPr>
  </w:style>
  <w:style w:type="paragraph" w:styleId="9">
    <w:name w:val="Balloon Text"/>
    <w:basedOn w:val="1"/>
    <w:link w:val="26"/>
    <w:qFormat/>
    <w:uiPriority w:val="0"/>
    <w:rPr>
      <w:sz w:val="18"/>
      <w:szCs w:val="18"/>
    </w:rPr>
  </w:style>
  <w:style w:type="paragraph" w:styleId="10">
    <w:name w:val="footer"/>
    <w:basedOn w:val="1"/>
    <w:link w:val="27"/>
    <w:qFormat/>
    <w:uiPriority w:val="99"/>
    <w:pPr>
      <w:tabs>
        <w:tab w:val="center" w:pos="4153"/>
        <w:tab w:val="right" w:pos="8306"/>
      </w:tabs>
      <w:snapToGrid w:val="0"/>
      <w:jc w:val="left"/>
    </w:pPr>
    <w:rPr>
      <w:sz w:val="18"/>
      <w:szCs w:val="18"/>
    </w:rPr>
  </w:style>
  <w:style w:type="paragraph" w:styleId="11">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spacing w:before="120" w:after="120"/>
      <w:jc w:val="left"/>
    </w:pPr>
    <w:rPr>
      <w:rFonts w:ascii="Calibri" w:hAnsi="Calibri" w:cs="Calibri"/>
      <w:b/>
      <w:bCs/>
      <w:caps/>
      <w:sz w:val="20"/>
      <w:szCs w:val="20"/>
    </w:rPr>
  </w:style>
  <w:style w:type="paragraph" w:styleId="13">
    <w:name w:val="toc 4"/>
    <w:basedOn w:val="1"/>
    <w:next w:val="1"/>
    <w:qFormat/>
    <w:uiPriority w:val="0"/>
    <w:pPr>
      <w:ind w:left="900"/>
      <w:jc w:val="left"/>
    </w:pPr>
    <w:rPr>
      <w:rFonts w:ascii="Calibri" w:hAnsi="Calibri" w:cs="Calibri"/>
      <w:sz w:val="18"/>
      <w:szCs w:val="18"/>
    </w:rPr>
  </w:style>
  <w:style w:type="paragraph" w:styleId="14">
    <w:name w:val="toc 6"/>
    <w:basedOn w:val="1"/>
    <w:next w:val="1"/>
    <w:qFormat/>
    <w:uiPriority w:val="0"/>
    <w:pPr>
      <w:ind w:left="1500"/>
      <w:jc w:val="left"/>
    </w:pPr>
    <w:rPr>
      <w:rFonts w:ascii="Calibri" w:hAnsi="Calibri" w:cs="Calibri"/>
      <w:sz w:val="18"/>
      <w:szCs w:val="18"/>
    </w:rPr>
  </w:style>
  <w:style w:type="paragraph" w:styleId="15">
    <w:name w:val="toc 2"/>
    <w:basedOn w:val="1"/>
    <w:next w:val="1"/>
    <w:qFormat/>
    <w:uiPriority w:val="39"/>
    <w:pPr>
      <w:ind w:left="300"/>
      <w:jc w:val="left"/>
    </w:pPr>
    <w:rPr>
      <w:rFonts w:ascii="Calibri" w:hAnsi="Calibri" w:cs="Calibri"/>
      <w:smallCaps/>
      <w:sz w:val="20"/>
      <w:szCs w:val="20"/>
    </w:rPr>
  </w:style>
  <w:style w:type="paragraph" w:styleId="16">
    <w:name w:val="toc 9"/>
    <w:basedOn w:val="1"/>
    <w:next w:val="1"/>
    <w:qFormat/>
    <w:uiPriority w:val="0"/>
    <w:pPr>
      <w:ind w:left="2400"/>
      <w:jc w:val="left"/>
    </w:pPr>
    <w:rPr>
      <w:rFonts w:ascii="Calibri" w:hAnsi="Calibri" w:cs="Calibri"/>
      <w:sz w:val="18"/>
      <w:szCs w:val="18"/>
    </w:rPr>
  </w:style>
  <w:style w:type="paragraph" w:styleId="17">
    <w:name w:val="annotation subject"/>
    <w:basedOn w:val="5"/>
    <w:next w:val="5"/>
    <w:link w:val="28"/>
    <w:qFormat/>
    <w:uiPriority w:val="0"/>
    <w:rPr>
      <w:b/>
      <w:bCs/>
    </w:rPr>
  </w:style>
  <w:style w:type="character" w:styleId="20">
    <w:name w:val="Strong"/>
    <w:basedOn w:val="19"/>
    <w:qFormat/>
    <w:uiPriority w:val="0"/>
    <w:rPr>
      <w:b/>
    </w:rPr>
  </w:style>
  <w:style w:type="character" w:styleId="21">
    <w:name w:val="Hyperlink"/>
    <w:unhideWhenUsed/>
    <w:qFormat/>
    <w:uiPriority w:val="99"/>
    <w:rPr>
      <w:color w:val="0000FF"/>
      <w:u w:val="single"/>
    </w:rPr>
  </w:style>
  <w:style w:type="character" w:styleId="22">
    <w:name w:val="annotation reference"/>
    <w:qFormat/>
    <w:uiPriority w:val="0"/>
    <w:rPr>
      <w:sz w:val="21"/>
      <w:szCs w:val="21"/>
    </w:rPr>
  </w:style>
  <w:style w:type="character" w:customStyle="1" w:styleId="23">
    <w:name w:val="标题 1 Char"/>
    <w:link w:val="2"/>
    <w:qFormat/>
    <w:uiPriority w:val="0"/>
    <w:rPr>
      <w:rFonts w:ascii="Times New Roman" w:hAnsi="Times New Roman" w:eastAsia="仿宋_GB2312"/>
      <w:b/>
      <w:bCs/>
      <w:kern w:val="44"/>
      <w:sz w:val="44"/>
      <w:szCs w:val="44"/>
    </w:rPr>
  </w:style>
  <w:style w:type="character" w:customStyle="1" w:styleId="24">
    <w:name w:val="标题 2 Char"/>
    <w:link w:val="3"/>
    <w:semiHidden/>
    <w:qFormat/>
    <w:uiPriority w:val="0"/>
    <w:rPr>
      <w:rFonts w:ascii="Cambria" w:hAnsi="Cambria" w:eastAsia="宋体" w:cs="Times New Roman"/>
      <w:b/>
      <w:bCs/>
      <w:kern w:val="2"/>
      <w:sz w:val="32"/>
      <w:szCs w:val="32"/>
    </w:rPr>
  </w:style>
  <w:style w:type="character" w:customStyle="1" w:styleId="25">
    <w:name w:val="批注文字 Char"/>
    <w:link w:val="5"/>
    <w:qFormat/>
    <w:uiPriority w:val="0"/>
    <w:rPr>
      <w:rFonts w:ascii="Times New Roman" w:hAnsi="Times New Roman" w:eastAsia="仿宋_GB2312"/>
      <w:kern w:val="2"/>
      <w:sz w:val="30"/>
      <w:szCs w:val="24"/>
    </w:rPr>
  </w:style>
  <w:style w:type="character" w:customStyle="1" w:styleId="26">
    <w:name w:val="批注框文本 Char"/>
    <w:link w:val="9"/>
    <w:qFormat/>
    <w:uiPriority w:val="0"/>
    <w:rPr>
      <w:rFonts w:ascii="Times New Roman" w:hAnsi="Times New Roman" w:eastAsia="仿宋_GB2312"/>
      <w:kern w:val="2"/>
      <w:sz w:val="18"/>
      <w:szCs w:val="18"/>
    </w:rPr>
  </w:style>
  <w:style w:type="character" w:customStyle="1" w:styleId="27">
    <w:name w:val="页脚 Char"/>
    <w:link w:val="10"/>
    <w:qFormat/>
    <w:uiPriority w:val="99"/>
    <w:rPr>
      <w:rFonts w:ascii="Times New Roman" w:hAnsi="Times New Roman" w:eastAsia="仿宋_GB2312"/>
      <w:kern w:val="2"/>
      <w:sz w:val="18"/>
      <w:szCs w:val="18"/>
    </w:rPr>
  </w:style>
  <w:style w:type="character" w:customStyle="1" w:styleId="28">
    <w:name w:val="批注主题 Char"/>
    <w:link w:val="17"/>
    <w:qFormat/>
    <w:uiPriority w:val="0"/>
    <w:rPr>
      <w:rFonts w:ascii="Times New Roman" w:hAnsi="Times New Roman" w:eastAsia="仿宋_GB2312"/>
      <w:b/>
      <w:bCs/>
      <w:kern w:val="2"/>
      <w:sz w:val="30"/>
      <w:szCs w:val="24"/>
    </w:rPr>
  </w:style>
  <w:style w:type="paragraph" w:customStyle="1" w:styleId="29">
    <w:name w:val="Body text|2"/>
    <w:basedOn w:val="1"/>
    <w:qFormat/>
    <w:uiPriority w:val="0"/>
    <w:pPr>
      <w:spacing w:before="100" w:after="580"/>
      <w:ind w:firstLine="540"/>
    </w:pPr>
    <w:rPr>
      <w:rFonts w:eastAsia="宋体"/>
      <w:sz w:val="28"/>
      <w:szCs w:val="28"/>
    </w:rPr>
  </w:style>
  <w:style w:type="paragraph" w:customStyle="1" w:styleId="30">
    <w:name w:val="_Style 29"/>
    <w:unhideWhenUsed/>
    <w:qFormat/>
    <w:uiPriority w:val="99"/>
    <w:rPr>
      <w:rFonts w:ascii="Times New Roman" w:hAnsi="Times New Roman" w:eastAsia="仿宋_GB2312" w:cs="Times New Roman"/>
      <w:kern w:val="2"/>
      <w:sz w:val="30"/>
      <w:szCs w:val="24"/>
      <w:lang w:val="en-US" w:eastAsia="zh-CN" w:bidi="ar-SA"/>
    </w:rPr>
  </w:style>
  <w:style w:type="paragraph" w:customStyle="1" w:styleId="31">
    <w:name w:val="WPSOffice手动目录 1"/>
    <w:qFormat/>
    <w:uiPriority w:val="0"/>
    <w:rPr>
      <w:rFonts w:ascii="Calibri" w:hAnsi="Calibri" w:eastAsia="宋体" w:cs="Calibri"/>
      <w:lang w:val="en-US" w:eastAsia="zh-CN" w:bidi="ar-SA"/>
    </w:rPr>
  </w:style>
  <w:style w:type="paragraph" w:customStyle="1" w:styleId="32">
    <w:name w:val="WPSOffice手动目录 2"/>
    <w:qFormat/>
    <w:uiPriority w:val="0"/>
    <w:pPr>
      <w:ind w:left="200" w:leftChars="200"/>
    </w:pPr>
    <w:rPr>
      <w:rFonts w:ascii="Calibri" w:hAnsi="Calibri" w:eastAsia="宋体" w:cs="Calibri"/>
      <w:lang w:val="en-US" w:eastAsia="zh-CN" w:bidi="ar-SA"/>
    </w:rPr>
  </w:style>
  <w:style w:type="character" w:customStyle="1" w:styleId="33">
    <w:name w:val="页眉 Char"/>
    <w:basedOn w:val="19"/>
    <w:link w:val="11"/>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2112</Words>
  <Characters>2234</Characters>
  <Lines>18</Lines>
  <Paragraphs>5</Paragraphs>
  <TotalTime>49</TotalTime>
  <ScaleCrop>false</ScaleCrop>
  <LinksUpToDate>false</LinksUpToDate>
  <CharactersWithSpaces>2234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2021-03-10T18:36:00Z</dcterms:created>
  <dc:creator>Administrator</dc:creator>
  <cp:lastModifiedBy>ZM</cp:lastModifiedBy>
  <cp:lastPrinted>2021-03-11T17:33:00Z</cp:lastPrinted>
  <dcterms:modified xsi:type="dcterms:W3CDTF">2025-08-21T02:44:09Z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C36CAC5B5DE14CC4BC6A03DE16671BD7_13</vt:lpwstr>
  </property>
  <property fmtid="{D5CDD505-2E9C-101B-9397-08002B2CF9AE}" pid="4" name="KSOTemplateDocerSaveRecord">
    <vt:lpwstr>eyJoZGlkIjoiYjZhMjIxOTI4ZWQxYzg2MzA4MzBmZTY3MGNiOWJhNDYiLCJ1c2VySWQiOiI1ODY2NjY2MDAifQ==</vt:lpwstr>
  </property>
</Properties>
</file>