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854"/>
        <w:gridCol w:w="948"/>
        <w:gridCol w:w="1238"/>
        <w:gridCol w:w="1417"/>
        <w:gridCol w:w="1390"/>
        <w:gridCol w:w="2487"/>
        <w:gridCol w:w="1134"/>
        <w:gridCol w:w="1134"/>
        <w:gridCol w:w="9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shd w:val="clear" w:color="auto" w:fill="auto"/>
            <w:vAlign w:val="center"/>
          </w:tcPr>
          <w:p>
            <w:pPr>
              <w:widowControl/>
              <w:tabs>
                <w:tab w:val="left" w:pos="6300"/>
              </w:tabs>
              <w:spacing w:line="320" w:lineRule="exact"/>
              <w:jc w:val="center"/>
              <w:rPr>
                <w:rFonts w:ascii="宋体" w:hAnsi="宋体" w:eastAsia="宋体" w:cs="宋体"/>
                <w:b/>
                <w:bCs/>
                <w:color w:val="auto"/>
                <w:kern w:val="0"/>
                <w:sz w:val="28"/>
                <w:szCs w:val="28"/>
              </w:rPr>
            </w:pPr>
            <w:bookmarkStart w:id="0" w:name="_GoBack"/>
            <w:r>
              <w:rPr>
                <w:rFonts w:hint="eastAsia" w:ascii="宋体" w:hAnsi="宋体" w:eastAsia="宋体" w:cs="宋体"/>
                <w:b/>
                <w:bCs/>
                <w:color w:val="auto"/>
                <w:kern w:val="0"/>
                <w:sz w:val="28"/>
                <w:szCs w:val="28"/>
              </w:rPr>
              <w:t>项目支出绩效自评表</w:t>
            </w:r>
          </w:p>
          <w:p>
            <w:pPr>
              <w:widowControl/>
              <w:tabs>
                <w:tab w:val="left" w:pos="6300"/>
              </w:tabs>
              <w:spacing w:line="320" w:lineRule="exact"/>
              <w:jc w:val="center"/>
              <w:rPr>
                <w:rFonts w:ascii="宋体" w:hAnsi="宋体" w:eastAsia="宋体" w:cs="宋体"/>
                <w:b/>
                <w:bCs/>
                <w:color w:val="auto"/>
                <w:kern w:val="0"/>
                <w:szCs w:val="21"/>
              </w:rPr>
            </w:pPr>
            <w:r>
              <w:rPr>
                <w:rFonts w:hint="eastAsia" w:ascii="宋体" w:hAnsi="宋体" w:eastAsia="宋体" w:cs="宋体"/>
                <w:color w:val="auto"/>
                <w:kern w:val="0"/>
                <w:szCs w:val="21"/>
              </w:rPr>
              <w:t>（202</w:t>
            </w:r>
            <w:r>
              <w:rPr>
                <w:rFonts w:ascii="宋体" w:hAnsi="宋体" w:eastAsia="宋体" w:cs="宋体"/>
                <w:color w:val="auto"/>
                <w:kern w:val="0"/>
                <w:szCs w:val="21"/>
              </w:rPr>
              <w:t>2</w:t>
            </w:r>
            <w:r>
              <w:rPr>
                <w:rFonts w:hint="eastAsia" w:ascii="宋体" w:hAnsi="宋体" w:eastAsia="宋体" w:cs="宋体"/>
                <w:color w:val="auto"/>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项目名称</w:t>
            </w:r>
          </w:p>
        </w:tc>
        <w:tc>
          <w:tcPr>
            <w:tcW w:w="11797" w:type="dxa"/>
            <w:gridSpan w:val="9"/>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广播电视监测监管大数据平台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32"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主管部门</w:t>
            </w:r>
          </w:p>
        </w:tc>
        <w:tc>
          <w:tcPr>
            <w:tcW w:w="4993" w:type="dxa"/>
            <w:gridSpan w:val="4"/>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实施单位</w:t>
            </w:r>
          </w:p>
        </w:tc>
        <w:tc>
          <w:tcPr>
            <w:tcW w:w="3183" w:type="dxa"/>
            <w:gridSpan w:val="3"/>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项目负责人</w:t>
            </w:r>
          </w:p>
        </w:tc>
        <w:tc>
          <w:tcPr>
            <w:tcW w:w="4993" w:type="dxa"/>
            <w:gridSpan w:val="4"/>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吕华</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联系电话</w:t>
            </w:r>
          </w:p>
        </w:tc>
        <w:tc>
          <w:tcPr>
            <w:tcW w:w="3183" w:type="dxa"/>
            <w:gridSpan w:val="3"/>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55565346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restart"/>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项目资金</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（万元）</w:t>
            </w:r>
          </w:p>
        </w:tc>
        <w:tc>
          <w:tcPr>
            <w:tcW w:w="2186"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141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年初预算数</w:t>
            </w:r>
          </w:p>
        </w:tc>
        <w:tc>
          <w:tcPr>
            <w:tcW w:w="1390"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全年预算数</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全年执行数</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993"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执行率</w:t>
            </w:r>
          </w:p>
        </w:tc>
        <w:tc>
          <w:tcPr>
            <w:tcW w:w="1056"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32" w:type="dxa"/>
            <w:gridSpan w:val="2"/>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tabs>
                <w:tab w:val="left" w:pos="6300"/>
              </w:tabs>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年度资金总额</w:t>
            </w:r>
          </w:p>
        </w:tc>
        <w:tc>
          <w:tcPr>
            <w:tcW w:w="141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492.75664</w:t>
            </w:r>
          </w:p>
        </w:tc>
        <w:tc>
          <w:tcPr>
            <w:tcW w:w="1390"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492.75664</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492.38664</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993"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99.92%</w:t>
            </w:r>
          </w:p>
        </w:tc>
        <w:tc>
          <w:tcPr>
            <w:tcW w:w="1056"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其中：当年财政拨款</w:t>
            </w:r>
          </w:p>
        </w:tc>
        <w:tc>
          <w:tcPr>
            <w:tcW w:w="141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492.75664</w:t>
            </w:r>
          </w:p>
        </w:tc>
        <w:tc>
          <w:tcPr>
            <w:tcW w:w="1390"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492.75664</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492.38664</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993"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99.92%</w:t>
            </w:r>
          </w:p>
        </w:tc>
        <w:tc>
          <w:tcPr>
            <w:tcW w:w="1056"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上年结转资金</w:t>
            </w:r>
          </w:p>
        </w:tc>
        <w:tc>
          <w:tcPr>
            <w:tcW w:w="141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390"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993"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其他资金</w:t>
            </w:r>
          </w:p>
        </w:tc>
        <w:tc>
          <w:tcPr>
            <w:tcW w:w="141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390"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3621"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993"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restart"/>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年度总体目标</w:t>
            </w:r>
          </w:p>
        </w:tc>
        <w:tc>
          <w:tcPr>
            <w:tcW w:w="5847" w:type="dxa"/>
            <w:gridSpan w:val="5"/>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预期目标</w:t>
            </w:r>
          </w:p>
        </w:tc>
        <w:tc>
          <w:tcPr>
            <w:tcW w:w="6804" w:type="dxa"/>
            <w:gridSpan w:val="5"/>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78" w:type="dxa"/>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5847" w:type="dxa"/>
            <w:gridSpan w:val="5"/>
            <w:shd w:val="clear" w:color="auto" w:fill="auto"/>
            <w:vAlign w:val="center"/>
          </w:tcPr>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为了深入贯彻落实习近平总书记在十九大报告中明确指出的精神，以及在中共中央政治局第二次集体学习时强调的要运用大数据提升国家治理现代化水平的要求。我处利用收听收看工作做好广播电视节目监管，负责对北京广播电视台和各区融媒体中心的40余个频道和频率的700多档节目进行监控，以及系统全年的运维服务。主要包括：</w:t>
            </w:r>
          </w:p>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1.完成对北京广播电视台和各区融媒体中心的40余个频道和频率的700多档节目的取证视频处理和存储。</w:t>
            </w:r>
          </w:p>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2.完成保障节目、稿件数据库系统日常运营、短信通知和安全保障。宣传管理预警系统可以实现针对各类电视作品：电视剧、动画片、纪录片存在的政治导向等问题做到及时发现、早期处理，构建“主动发现、早期处置、事前管理、事后复核”的一体化宣传管理预警机制。</w:t>
            </w:r>
          </w:p>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该系统可以通过信息跟踪、数据结构化和大数据分析，有效实现及时寻求规律，发现潜在信息险情，并及时上报，提早预警，早期处理。主要包括</w:t>
            </w:r>
          </w:p>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1：政务云全年租赁服务；</w:t>
            </w:r>
          </w:p>
          <w:p>
            <w:pPr>
              <w:widowControl/>
              <w:tabs>
                <w:tab w:val="left" w:pos="6300"/>
              </w:tabs>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2：完成系统需要的数据处理、推送和业务数据结构化。</w:t>
            </w:r>
          </w:p>
        </w:tc>
        <w:tc>
          <w:tcPr>
            <w:tcW w:w="6804" w:type="dxa"/>
            <w:gridSpan w:val="5"/>
            <w:shd w:val="clear" w:color="auto" w:fill="auto"/>
            <w:vAlign w:val="center"/>
          </w:tcPr>
          <w:p>
            <w:pPr>
              <w:widowControl/>
              <w:spacing w:line="240" w:lineRule="exact"/>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rPr>
              <w:t>政务云租赁：</w:t>
            </w:r>
            <w:r>
              <w:rPr>
                <w:rFonts w:hint="eastAsia" w:ascii="宋体" w:hAnsi="宋体" w:eastAsia="宋体" w:cs="宋体"/>
                <w:color w:val="auto"/>
                <w:kern w:val="0"/>
                <w:szCs w:val="21"/>
              </w:rPr>
              <w:t>为保证节目、稿件数据库系统和宣传管理预警系统平稳运行，我处严格按照政府集中采购要求，选取定点单位“北京金山云网络</w:t>
            </w:r>
            <w:r>
              <w:rPr>
                <w:rFonts w:hint="eastAsia" w:ascii="宋体" w:hAnsi="宋体" w:eastAsia="宋体" w:cs="宋体"/>
                <w:color w:val="auto"/>
                <w:kern w:val="0"/>
                <w:szCs w:val="21"/>
                <w:highlight w:val="none"/>
              </w:rPr>
              <w:t>技术有限公司”承担该项服务工作。项目服务期为2022年4月29日至2023年4月28日，服务期内提供了稳定的系统硬件运行环境，年内重保期期间配合进行底层安全防护工作及应急演练工作，确保了系统运行环境在重保期期间安全稳定运行，每月向我方提供检测月报，服务期内共完成了12期月度报告。</w:t>
            </w:r>
          </w:p>
          <w:p>
            <w:pPr>
              <w:widowControl/>
              <w:spacing w:line="240" w:lineRule="exact"/>
              <w:jc w:val="left"/>
              <w:rPr>
                <w:rFonts w:ascii="宋体" w:hAnsi="宋体" w:eastAsia="宋体" w:cs="宋体"/>
                <w:color w:val="auto"/>
                <w:kern w:val="0"/>
                <w:szCs w:val="21"/>
              </w:rPr>
            </w:pPr>
            <w:r>
              <w:rPr>
                <w:rFonts w:hint="eastAsia" w:ascii="宋体" w:hAnsi="宋体" w:eastAsia="宋体" w:cs="宋体"/>
                <w:b/>
                <w:bCs/>
                <w:color w:val="auto"/>
                <w:kern w:val="0"/>
                <w:szCs w:val="21"/>
                <w:highlight w:val="none"/>
              </w:rPr>
              <w:t>节目、稿件数据库系统：</w:t>
            </w:r>
            <w:r>
              <w:rPr>
                <w:rFonts w:hint="eastAsia" w:ascii="宋体" w:hAnsi="宋体" w:eastAsia="宋体" w:cs="宋体"/>
                <w:color w:val="auto"/>
                <w:kern w:val="0"/>
                <w:szCs w:val="21"/>
                <w:highlight w:val="none"/>
              </w:rPr>
              <w:t>服务期内完成北京广播电视台49套频道、频率节目监管所需直播回放数据流，并对问题节目进行视频取证提取处理，年度处理问题节目取证视频147条，约19G，累计提取取证音视频4928余条；配合更新节目收视率，周更节目躁动数据，年度累计生成246条；处理节目热度数据215204条；处理节目收视率数据3628</w:t>
            </w:r>
            <w:r>
              <w:rPr>
                <w:rFonts w:hint="eastAsia" w:ascii="宋体" w:hAnsi="宋体" w:eastAsia="宋体" w:cs="宋体"/>
                <w:color w:val="auto"/>
                <w:kern w:val="0"/>
                <w:szCs w:val="21"/>
              </w:rPr>
              <w:t>45条；收录217位推优评审专家信息，并完成1444个评奖节目信息收集；通过数据分析、统计生成总台北京地区信息数据可视化图表，并完成阅评人员绩效统计监测工作，通过系统实时呈现，对接诉即办、大宣管等业务流程线上化提供技术支持，优化任务派发功能等服务。维护过程中消除软件漏洞给系统带来的安全隐患，并对安装补丁所引起的系统连锁反应进行合理的平衡，确保了设备稳定运行，进行了4次全面安全测评，修复各类漏洞23个，安全升级50余次，有效的防止安全事件发生。运维期内定期备份，始终有人员值守，24小时支持电话支持，以满足业务需要，并完成了故障监控和线上巡检服务，以改进、完善现有系统或消除现有系统的漏洞。同时对于客户提出的新需求进行升级改造，更新补丁包20余次。</w:t>
            </w:r>
          </w:p>
          <w:p>
            <w:pPr>
              <w:widowControl/>
              <w:spacing w:line="240" w:lineRule="exact"/>
              <w:jc w:val="left"/>
              <w:rPr>
                <w:rFonts w:ascii="宋体" w:hAnsi="宋体" w:eastAsia="宋体" w:cs="宋体"/>
                <w:color w:val="auto"/>
                <w:kern w:val="0"/>
                <w:szCs w:val="21"/>
              </w:rPr>
            </w:pPr>
            <w:r>
              <w:rPr>
                <w:rFonts w:hint="eastAsia" w:ascii="宋体" w:hAnsi="宋体" w:eastAsia="宋体" w:cs="宋体"/>
                <w:b/>
                <w:bCs/>
                <w:color w:val="auto"/>
                <w:kern w:val="0"/>
                <w:szCs w:val="21"/>
              </w:rPr>
              <w:t>宣传管理预警系统：</w:t>
            </w:r>
            <w:r>
              <w:rPr>
                <w:rFonts w:hint="eastAsia" w:ascii="宋体" w:hAnsi="宋体" w:eastAsia="宋体" w:cs="宋体"/>
                <w:color w:val="auto"/>
                <w:kern w:val="0"/>
                <w:szCs w:val="21"/>
              </w:rPr>
              <w:t>服务期内宣传管理预警系统优化处理作品备案、发行、变更、上报等数据27,097条；处理动画片、纪录片种子库、项目库、片单库、精品库、精品评优等数据15,444条；采集纪录片、动画片播出及收视等数据429,382条；采集作品、机构及主创人员信息6,912,480条；持续更新北京市持证机构19309个，共更新机构工商信息、作品信息、经营预警、机构信息2,140,225条；收集处理大型活动数据74,136条。数据处理及采集总量9,598,764条，通过数据采集、信息收集、人工结构化、数据清洗、数据关联、数据导入等工作，补充系统数据，使数据更加完整，为更好的实现数据分析提供数据基础。共编制每日信息报告33篇，二十大工作保障总结1篇；纪录片播出情况报告27期。系统设备运行稳定，按时对数据进行备份，并且固定对备份数据进行恢复演练，实时监控数据库使用情况，完成安全补丁修复9个，整改系统遗留安全漏洞25个，系统升级更新61次，封堵不正常访问38次，形成系统运维报告10期。完成“宣传管理预警系统”等保二级测评及攻防演习工作，获得等保二级证书。同时为保障业务系统访问安全性及系统域名的规范性，调整原系统域名为市广电局三级域名。支持预警系统目录链2.0迁移保障。</w:t>
            </w:r>
          </w:p>
          <w:p>
            <w:pPr>
              <w:widowControl/>
              <w:tabs>
                <w:tab w:val="left" w:pos="6300"/>
              </w:tabs>
              <w:spacing w:line="240" w:lineRule="exact"/>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绩</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效</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指</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标</w:t>
            </w:r>
          </w:p>
        </w:tc>
        <w:tc>
          <w:tcPr>
            <w:tcW w:w="85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一级</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二级</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三级指标</w:t>
            </w:r>
          </w:p>
        </w:tc>
        <w:tc>
          <w:tcPr>
            <w:tcW w:w="2807"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指标值</w:t>
            </w:r>
          </w:p>
        </w:tc>
        <w:tc>
          <w:tcPr>
            <w:tcW w:w="2487"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完成值</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1134" w:type="dxa"/>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c>
          <w:tcPr>
            <w:tcW w:w="2049"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偏差原因分析</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c>
          <w:tcPr>
            <w:tcW w:w="854" w:type="dxa"/>
            <w:vMerge w:val="restart"/>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产出</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vMerge w:val="restart"/>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数量</w:t>
            </w:r>
          </w:p>
          <w:p>
            <w:pPr>
              <w:widowControl/>
              <w:tabs>
                <w:tab w:val="left" w:pos="6300"/>
              </w:tabs>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tabs>
                <w:tab w:val="left" w:pos="6300"/>
              </w:tabs>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政务云租赁期限</w:t>
            </w:r>
          </w:p>
        </w:tc>
        <w:tc>
          <w:tcPr>
            <w:tcW w:w="2807" w:type="dxa"/>
            <w:gridSpan w:val="2"/>
            <w:shd w:val="clear" w:color="auto" w:fill="auto"/>
            <w:vAlign w:val="center"/>
          </w:tcPr>
          <w:p>
            <w:pPr>
              <w:widowControl/>
              <w:tabs>
                <w:tab w:val="left" w:pos="6300"/>
              </w:tabs>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1年</w:t>
            </w:r>
          </w:p>
        </w:tc>
        <w:tc>
          <w:tcPr>
            <w:tcW w:w="2487" w:type="dxa"/>
            <w:shd w:val="clear" w:color="auto" w:fill="auto"/>
            <w:vAlign w:val="center"/>
          </w:tcPr>
          <w:p>
            <w:pPr>
              <w:widowControl/>
              <w:tabs>
                <w:tab w:val="left" w:pos="6300"/>
              </w:tabs>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1年</w:t>
            </w:r>
          </w:p>
        </w:tc>
        <w:tc>
          <w:tcPr>
            <w:tcW w:w="1134" w:type="dxa"/>
            <w:shd w:val="clear" w:color="auto" w:fill="auto"/>
            <w:vAlign w:val="center"/>
          </w:tcPr>
          <w:p>
            <w:pPr>
              <w:widowControl/>
              <w:tabs>
                <w:tab w:val="left" w:pos="6300"/>
              </w:tabs>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134" w:type="dxa"/>
            <w:shd w:val="clear" w:color="auto" w:fill="auto"/>
            <w:vAlign w:val="center"/>
          </w:tcPr>
          <w:p>
            <w:pPr>
              <w:widowControl/>
              <w:tabs>
                <w:tab w:val="left" w:pos="6300"/>
              </w:tabs>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widowControl/>
              <w:tabs>
                <w:tab w:val="left" w:pos="6300"/>
              </w:tabs>
              <w:spacing w:line="24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textAlignment w:val="center"/>
              <w:rPr>
                <w:rFonts w:ascii="宋体" w:hAnsi="宋体" w:eastAsia="宋体" w:cs="宋体"/>
                <w:color w:val="auto"/>
                <w:kern w:val="0"/>
                <w:szCs w:val="21"/>
              </w:rPr>
            </w:pPr>
            <w:r>
              <w:rPr>
                <w:rFonts w:hint="eastAsia" w:ascii="宋体" w:hAnsi="宋体" w:eastAsia="宋体" w:cs="宋体"/>
                <w:color w:val="auto"/>
                <w:kern w:val="0"/>
                <w:szCs w:val="21"/>
              </w:rPr>
              <w:t>监控所需节目的取证视频数据资源</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43家</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49家</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textAlignment w:val="center"/>
              <w:rPr>
                <w:rFonts w:ascii="宋体" w:hAnsi="宋体" w:eastAsia="宋体" w:cs="宋体"/>
                <w:color w:val="auto"/>
                <w:kern w:val="0"/>
                <w:szCs w:val="21"/>
              </w:rPr>
            </w:pPr>
            <w:r>
              <w:rPr>
                <w:rFonts w:hint="eastAsia" w:ascii="宋体" w:hAnsi="宋体" w:eastAsia="宋体" w:cs="宋体"/>
                <w:color w:val="auto"/>
                <w:kern w:val="0"/>
                <w:szCs w:val="21"/>
              </w:rPr>
              <w:t>日常维护系统数量</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2个</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2个</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质量</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保障数据准确性，确保平台平稳运行</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优</w:t>
            </w:r>
          </w:p>
        </w:tc>
        <w:tc>
          <w:tcPr>
            <w:tcW w:w="2487"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满足，执行期内未发生安全问题，服务器内产生数据全部备份，平台运行平稳。</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时效</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项目启动</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≤5月</w:t>
            </w:r>
          </w:p>
        </w:tc>
        <w:tc>
          <w:tcPr>
            <w:tcW w:w="2487" w:type="dxa"/>
            <w:shd w:val="clear" w:color="auto" w:fill="auto"/>
            <w:vAlign w:val="center"/>
          </w:tcPr>
          <w:p>
            <w:pPr>
              <w:widowControl/>
              <w:textAlignment w:val="center"/>
              <w:rPr>
                <w:rFonts w:ascii="宋体" w:hAnsi="宋体" w:eastAsia="宋体" w:cs="宋体"/>
                <w:color w:val="auto"/>
                <w:kern w:val="0"/>
                <w:szCs w:val="21"/>
              </w:rPr>
            </w:pPr>
            <w:r>
              <w:rPr>
                <w:rFonts w:hint="eastAsia" w:ascii="宋体" w:hAnsi="宋体" w:eastAsia="宋体" w:cs="宋体"/>
                <w:color w:val="auto"/>
                <w:kern w:val="0"/>
                <w:szCs w:val="21"/>
              </w:rPr>
              <w:t>项目已于</w:t>
            </w:r>
            <w:r>
              <w:rPr>
                <w:rFonts w:ascii="宋体" w:hAnsi="宋体" w:eastAsia="宋体" w:cs="宋体"/>
                <w:color w:val="auto"/>
                <w:kern w:val="0"/>
                <w:szCs w:val="21"/>
              </w:rPr>
              <w:t>5月前</w:t>
            </w:r>
            <w:r>
              <w:rPr>
                <w:rFonts w:hint="eastAsia" w:ascii="宋体" w:hAnsi="宋体" w:eastAsia="宋体" w:cs="宋体"/>
                <w:color w:val="auto"/>
                <w:kern w:val="0"/>
                <w:szCs w:val="21"/>
              </w:rPr>
              <w:t>启动</w:t>
            </w:r>
            <w:r>
              <w:rPr>
                <w:rFonts w:ascii="宋体" w:hAnsi="宋体" w:eastAsia="宋体" w:cs="宋体"/>
                <w:color w:val="auto"/>
                <w:kern w:val="0"/>
                <w:szCs w:val="21"/>
              </w:rPr>
              <w:t>。</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完成验收</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≤12月</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未验收</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截至被评价日，项目合同期未满，尚未结项。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成本</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预算总额</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lang w:bidi="ar"/>
              </w:rPr>
            </w:pPr>
            <w:r>
              <w:rPr>
                <w:rFonts w:hint="eastAsia" w:ascii="宋体" w:hAnsi="宋体" w:eastAsia="宋体" w:cs="宋体"/>
                <w:color w:val="auto"/>
                <w:kern w:val="0"/>
                <w:szCs w:val="21"/>
                <w:lang w:bidi="ar"/>
              </w:rPr>
              <w:t>≤</w:t>
            </w:r>
            <w:r>
              <w:rPr>
                <w:rFonts w:ascii="宋体" w:hAnsi="宋体" w:eastAsia="宋体" w:cs="宋体"/>
                <w:color w:val="auto"/>
                <w:kern w:val="0"/>
                <w:szCs w:val="21"/>
                <w:lang w:bidi="ar"/>
              </w:rPr>
              <w:t>492.75664万元</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rPr>
              <w:t>492.38664万元</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政务云租用服务</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w:t>
            </w:r>
            <w:r>
              <w:rPr>
                <w:rFonts w:ascii="宋体" w:hAnsi="宋体" w:eastAsia="宋体" w:cs="宋体"/>
                <w:color w:val="auto"/>
                <w:kern w:val="0"/>
                <w:szCs w:val="21"/>
                <w:lang w:bidi="ar"/>
              </w:rPr>
              <w:t>73.76664万元</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lang w:bidi="ar"/>
              </w:rPr>
              <w:t>73.76664万元</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宣传管理预警系统总成本</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w:t>
            </w:r>
            <w:r>
              <w:rPr>
                <w:rFonts w:ascii="宋体" w:hAnsi="宋体" w:eastAsia="宋体" w:cs="宋体"/>
                <w:color w:val="auto"/>
                <w:kern w:val="0"/>
                <w:szCs w:val="21"/>
                <w:lang w:bidi="ar"/>
              </w:rPr>
              <w:t>247.84万元</w:t>
            </w:r>
          </w:p>
        </w:tc>
        <w:tc>
          <w:tcPr>
            <w:tcW w:w="2487" w:type="dxa"/>
            <w:shd w:val="clear" w:color="auto" w:fill="auto"/>
            <w:vAlign w:val="center"/>
          </w:tcPr>
          <w:p>
            <w:pPr>
              <w:widowControl/>
              <w:jc w:val="center"/>
              <w:textAlignment w:val="center"/>
              <w:rPr>
                <w:rFonts w:ascii="宋体" w:hAnsi="宋体" w:eastAsia="宋体" w:cs="宋体"/>
                <w:b/>
                <w:color w:val="auto"/>
                <w:kern w:val="0"/>
                <w:szCs w:val="21"/>
              </w:rPr>
            </w:pPr>
            <w:r>
              <w:rPr>
                <w:rFonts w:ascii="宋体" w:hAnsi="宋体" w:eastAsia="宋体" w:cs="宋体"/>
                <w:color w:val="auto"/>
                <w:kern w:val="0"/>
                <w:szCs w:val="21"/>
              </w:rPr>
              <w:t>247.5万元</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节目、稿件数据库总成本</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w:t>
            </w:r>
            <w:r>
              <w:rPr>
                <w:rFonts w:ascii="宋体" w:hAnsi="宋体" w:eastAsia="宋体" w:cs="宋体"/>
                <w:color w:val="auto"/>
                <w:kern w:val="0"/>
                <w:szCs w:val="21"/>
                <w:lang w:bidi="ar"/>
              </w:rPr>
              <w:t>171.15万元</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rPr>
              <w:t>171.12万元</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效益</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社会</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效益</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辅助局内做好文娱领域综合治理工作，对电视作品拍摄从业机构在电视作品的立项、拍摄、播出等初始环节就进行有效把控</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优</w:t>
            </w:r>
          </w:p>
        </w:tc>
        <w:tc>
          <w:tcPr>
            <w:tcW w:w="2487" w:type="dxa"/>
            <w:shd w:val="clear" w:color="auto" w:fill="auto"/>
            <w:vAlign w:val="center"/>
          </w:tcPr>
          <w:p>
            <w:pPr>
              <w:widowControl/>
              <w:textAlignment w:val="center"/>
              <w:rPr>
                <w:rFonts w:ascii="宋体" w:hAnsi="宋体" w:eastAsia="宋体" w:cs="宋体"/>
                <w:color w:val="auto"/>
                <w:kern w:val="0"/>
                <w:szCs w:val="21"/>
              </w:rPr>
            </w:pPr>
            <w:r>
              <w:rPr>
                <w:rFonts w:hint="eastAsia" w:ascii="宋体" w:hAnsi="宋体" w:eastAsia="宋体" w:cs="宋体"/>
                <w:color w:val="auto"/>
                <w:kern w:val="0"/>
                <w:szCs w:val="21"/>
              </w:rPr>
              <w:t>满足。</w:t>
            </w:r>
            <w:r>
              <w:rPr>
                <w:rFonts w:ascii="宋体" w:hAnsi="宋体" w:eastAsia="宋体" w:cs="宋体"/>
                <w:color w:val="auto"/>
                <w:kern w:val="0"/>
                <w:szCs w:val="21"/>
              </w:rPr>
              <w:t>1.系统已实现对视作品拍摄从业机构在电视作品的立项、拍摄、播出等初始环节进行</w:t>
            </w:r>
            <w:r>
              <w:rPr>
                <w:rFonts w:hint="eastAsia" w:ascii="宋体" w:hAnsi="宋体" w:eastAsia="宋体" w:cs="宋体"/>
                <w:color w:val="auto"/>
                <w:kern w:val="0"/>
                <w:szCs w:val="21"/>
              </w:rPr>
              <w:t>全面监控及预警功能，避免题材扎堆、导向偏差，出现庸俗、低俗、媚俗等内容，确保所生产的电视作品符合社会主义核心价值观和中国梦的总方针。</w:t>
            </w:r>
            <w:r>
              <w:rPr>
                <w:rFonts w:ascii="宋体" w:hAnsi="宋体" w:eastAsia="宋体" w:cs="宋体"/>
                <w:color w:val="auto"/>
                <w:kern w:val="0"/>
                <w:szCs w:val="21"/>
              </w:rPr>
              <w:t>2.实现针对广电电视作品存在的政治导向等问题做到及时发现、早期处理，构建“主动发现、早期处置、事前管理、事后复核”的一体化宣传管理预警机制。</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50</w:t>
            </w:r>
          </w:p>
        </w:tc>
        <w:tc>
          <w:tcPr>
            <w:tcW w:w="1134"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46</w:t>
            </w:r>
          </w:p>
        </w:tc>
        <w:tc>
          <w:tcPr>
            <w:tcW w:w="2049" w:type="dxa"/>
            <w:gridSpan w:val="2"/>
            <w:shd w:val="clear" w:color="auto" w:fill="auto"/>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912" w:type="dxa"/>
            <w:gridSpan w:val="7"/>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总分</w:t>
            </w:r>
          </w:p>
        </w:tc>
        <w:tc>
          <w:tcPr>
            <w:tcW w:w="1134"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100</w:t>
            </w:r>
          </w:p>
        </w:tc>
        <w:tc>
          <w:tcPr>
            <w:tcW w:w="1134"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94.99</w:t>
            </w:r>
          </w:p>
        </w:tc>
        <w:tc>
          <w:tcPr>
            <w:tcW w:w="2049" w:type="dxa"/>
            <w:gridSpan w:val="2"/>
            <w:shd w:val="clear" w:color="auto" w:fill="auto"/>
            <w:vAlign w:val="center"/>
          </w:tcPr>
          <w:p>
            <w:pPr>
              <w:widowControl/>
              <w:spacing w:line="240" w:lineRule="exact"/>
              <w:jc w:val="center"/>
              <w:rPr>
                <w:rFonts w:ascii="宋体" w:hAnsi="宋体" w:eastAsia="宋体" w:cs="宋体"/>
                <w:color w:val="auto"/>
                <w:kern w:val="0"/>
                <w:szCs w:val="21"/>
              </w:rPr>
            </w:pPr>
          </w:p>
        </w:tc>
      </w:tr>
      <w:bookmarkEnd w:id="0"/>
    </w:tbl>
    <w:p>
      <w:pPr>
        <w:rPr>
          <w:rFonts w:ascii="宋体" w:hAnsi="宋体" w:eastAsia="宋体" w:cs="宋体"/>
          <w:szCs w:val="21"/>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257457"/>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3E1BB0"/>
    <w:rsid w:val="00032A31"/>
    <w:rsid w:val="00081878"/>
    <w:rsid w:val="00160257"/>
    <w:rsid w:val="00163A2B"/>
    <w:rsid w:val="002475CF"/>
    <w:rsid w:val="003542DB"/>
    <w:rsid w:val="00355867"/>
    <w:rsid w:val="00362805"/>
    <w:rsid w:val="003636BF"/>
    <w:rsid w:val="003E1BB0"/>
    <w:rsid w:val="00423305"/>
    <w:rsid w:val="006D2419"/>
    <w:rsid w:val="00775D4B"/>
    <w:rsid w:val="00831D80"/>
    <w:rsid w:val="009551F3"/>
    <w:rsid w:val="00A14082"/>
    <w:rsid w:val="00A605A0"/>
    <w:rsid w:val="00B512E8"/>
    <w:rsid w:val="00BA43A8"/>
    <w:rsid w:val="00C01ED6"/>
    <w:rsid w:val="00C224EA"/>
    <w:rsid w:val="00C67571"/>
    <w:rsid w:val="00DD1CC5"/>
    <w:rsid w:val="00DF2DDA"/>
    <w:rsid w:val="00E06F84"/>
    <w:rsid w:val="00E745B9"/>
    <w:rsid w:val="00F867FA"/>
    <w:rsid w:val="00FF4E25"/>
    <w:rsid w:val="022A6ACA"/>
    <w:rsid w:val="03A42CC1"/>
    <w:rsid w:val="04581BFA"/>
    <w:rsid w:val="1B352F13"/>
    <w:rsid w:val="200A081E"/>
    <w:rsid w:val="22573150"/>
    <w:rsid w:val="25485D6F"/>
    <w:rsid w:val="28F6715F"/>
    <w:rsid w:val="29580A27"/>
    <w:rsid w:val="2A9D3C54"/>
    <w:rsid w:val="2C153A9A"/>
    <w:rsid w:val="2CA56455"/>
    <w:rsid w:val="2D3237BB"/>
    <w:rsid w:val="320A7897"/>
    <w:rsid w:val="32901F78"/>
    <w:rsid w:val="34842DE4"/>
    <w:rsid w:val="36F42D91"/>
    <w:rsid w:val="3BD258C9"/>
    <w:rsid w:val="3BEB698B"/>
    <w:rsid w:val="3CC77862"/>
    <w:rsid w:val="3CD92C87"/>
    <w:rsid w:val="3EF8261C"/>
    <w:rsid w:val="40D320B2"/>
    <w:rsid w:val="41837FBB"/>
    <w:rsid w:val="42E67EBD"/>
    <w:rsid w:val="43001A19"/>
    <w:rsid w:val="54F559E5"/>
    <w:rsid w:val="561E4804"/>
    <w:rsid w:val="591E5852"/>
    <w:rsid w:val="5A1437BD"/>
    <w:rsid w:val="5D835970"/>
    <w:rsid w:val="66B24BFE"/>
    <w:rsid w:val="66F351B2"/>
    <w:rsid w:val="67FE183D"/>
    <w:rsid w:val="68213F33"/>
    <w:rsid w:val="68447B4D"/>
    <w:rsid w:val="68530012"/>
    <w:rsid w:val="6BCA7B91"/>
    <w:rsid w:val="6DF826BE"/>
    <w:rsid w:val="6F8573FB"/>
    <w:rsid w:val="70A83BBA"/>
    <w:rsid w:val="7DA12D27"/>
    <w:rsid w:val="7DAB4614"/>
    <w:rsid w:val="7FAF2189"/>
    <w:rsid w:val="7FD70BE9"/>
    <w:rsid w:val="ADBBA303"/>
    <w:rsid w:val="AFCAB90D"/>
    <w:rsid w:val="CAD56268"/>
    <w:rsid w:val="EBBBB75D"/>
    <w:rsid w:val="F0FBF240"/>
    <w:rsid w:val="F6ED6821"/>
    <w:rsid w:val="F9B7BC42"/>
    <w:rsid w:val="FED9D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5"/>
    <w:semiHidden/>
    <w:unhideWhenUsed/>
    <w:qFormat/>
    <w:uiPriority w:val="99"/>
    <w:pPr>
      <w:jc w:val="left"/>
    </w:pPr>
  </w:style>
  <w:style w:type="paragraph" w:styleId="4">
    <w:name w:val="Balloon Text"/>
    <w:basedOn w:val="1"/>
    <w:link w:val="14"/>
    <w:semiHidden/>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heme="minorHAnsi" w:hAnsiTheme="minorHAnsi" w:eastAsiaTheme="minorEastAsia" w:cstheme="minorBidi"/>
      <w:kern w:val="2"/>
      <w:sz w:val="18"/>
      <w:szCs w:val="18"/>
      <w14:ligatures w14:val="standardContextual"/>
    </w:rPr>
  </w:style>
  <w:style w:type="character" w:customStyle="1" w:styleId="15">
    <w:name w:val="批注文字 Char"/>
    <w:basedOn w:val="10"/>
    <w:link w:val="3"/>
    <w:semiHidden/>
    <w:qFormat/>
    <w:uiPriority w:val="99"/>
    <w:rPr>
      <w:rFonts w:asciiTheme="minorHAnsi" w:hAnsiTheme="minorHAnsi" w:eastAsiaTheme="minorEastAsia" w:cstheme="minorBidi"/>
      <w:kern w:val="2"/>
      <w:sz w:val="21"/>
      <w:szCs w:val="22"/>
      <w14:ligatures w14:val="standardContextual"/>
    </w:rPr>
  </w:style>
  <w:style w:type="character" w:customStyle="1" w:styleId="16">
    <w:name w:val="批注主题 Char"/>
    <w:basedOn w:val="15"/>
    <w:link w:val="7"/>
    <w:semiHidden/>
    <w:qFormat/>
    <w:uiPriority w:val="99"/>
    <w:rPr>
      <w:rFonts w:asciiTheme="minorHAnsi" w:hAnsiTheme="minorHAnsi" w:eastAsiaTheme="minorEastAsia" w:cstheme="minorBidi"/>
      <w:b/>
      <w:bCs/>
      <w:kern w:val="2"/>
      <w:sz w:val="21"/>
      <w:szCs w:val="22"/>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405</Words>
  <Characters>2313</Characters>
  <Lines>19</Lines>
  <Paragraphs>5</Paragraphs>
  <TotalTime>34</TotalTime>
  <ScaleCrop>false</ScaleCrop>
  <LinksUpToDate>false</LinksUpToDate>
  <CharactersWithSpaces>2713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2023-05-07T06:25:00Z</dcterms:created>
  <dc:creator>孟 宁</dc:creator>
  <cp:lastModifiedBy>lzc</cp:lastModifiedBy>
  <dcterms:modified xsi:type="dcterms:W3CDTF">2023-08-17T06:33:00Z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5A311ED8F51B40C88F69DE23BE8D2BE4_12</vt:lpwstr>
  </property>
</Properties>
</file>