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129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3"/>
        <w:gridCol w:w="690"/>
        <w:gridCol w:w="800"/>
        <w:gridCol w:w="2231"/>
        <w:gridCol w:w="1325"/>
        <w:gridCol w:w="1370"/>
        <w:gridCol w:w="2093"/>
        <w:gridCol w:w="1016"/>
        <w:gridCol w:w="809"/>
        <w:gridCol w:w="967"/>
        <w:gridCol w:w="10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12900" w:type="dxa"/>
            <w:gridSpan w:val="11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color w:val="auto"/>
                <w:kern w:val="0"/>
                <w:sz w:val="28"/>
                <w:szCs w:val="28"/>
              </w:rPr>
            </w:pPr>
            <w:bookmarkStart w:id="0" w:name="_GoBack"/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8"/>
                <w:szCs w:val="28"/>
              </w:rPr>
              <w:t>项目支出绩效自评表</w:t>
            </w:r>
          </w:p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（202</w:t>
            </w: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2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年度）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" w:hRule="atLeast"/>
          <w:jc w:val="center"/>
        </w:trPr>
        <w:tc>
          <w:tcPr>
            <w:tcW w:w="1253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项目名称</w:t>
            </w:r>
          </w:p>
        </w:tc>
        <w:tc>
          <w:tcPr>
            <w:tcW w:w="11647" w:type="dxa"/>
            <w:gridSpan w:val="9"/>
            <w:vAlign w:val="center"/>
          </w:tcPr>
          <w:p>
            <w:pPr>
              <w:widowControl/>
              <w:spacing w:line="240" w:lineRule="exact"/>
              <w:ind w:firstLine="3780" w:firstLineChars="1800"/>
              <w:jc w:val="both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组织参加服贸会北京新视听展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" w:hRule="atLeast"/>
          <w:jc w:val="center"/>
        </w:trPr>
        <w:tc>
          <w:tcPr>
            <w:tcW w:w="1253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主管部门</w:t>
            </w:r>
          </w:p>
        </w:tc>
        <w:tc>
          <w:tcPr>
            <w:tcW w:w="5726" w:type="dxa"/>
            <w:gridSpan w:val="4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北京市广播电视局</w:t>
            </w:r>
          </w:p>
        </w:tc>
        <w:tc>
          <w:tcPr>
            <w:tcW w:w="3109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实施单位</w:t>
            </w:r>
          </w:p>
        </w:tc>
        <w:tc>
          <w:tcPr>
            <w:tcW w:w="2812" w:type="dxa"/>
            <w:gridSpan w:val="3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北京市广播电视局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" w:hRule="atLeast"/>
          <w:jc w:val="center"/>
        </w:trPr>
        <w:tc>
          <w:tcPr>
            <w:tcW w:w="1253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项目</w:t>
            </w: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负责人</w:t>
            </w:r>
          </w:p>
        </w:tc>
        <w:tc>
          <w:tcPr>
            <w:tcW w:w="5726" w:type="dxa"/>
            <w:gridSpan w:val="4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eastAsia="zh-Hans"/>
              </w:rPr>
              <w:t>石磊</w:t>
            </w:r>
          </w:p>
        </w:tc>
        <w:tc>
          <w:tcPr>
            <w:tcW w:w="3109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联系电话</w:t>
            </w:r>
          </w:p>
        </w:tc>
        <w:tc>
          <w:tcPr>
            <w:tcW w:w="2812" w:type="dxa"/>
            <w:gridSpan w:val="3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55565455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" w:hRule="atLeast"/>
          <w:jc w:val="center"/>
        </w:trPr>
        <w:tc>
          <w:tcPr>
            <w:tcW w:w="1253" w:type="dxa"/>
            <w:gridSpan w:val="2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项目资金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（万元）</w:t>
            </w:r>
          </w:p>
        </w:tc>
        <w:tc>
          <w:tcPr>
            <w:tcW w:w="3031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1325" w:type="dxa"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年初预算数</w:t>
            </w:r>
          </w:p>
        </w:tc>
        <w:tc>
          <w:tcPr>
            <w:tcW w:w="137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全年预算数</w:t>
            </w:r>
          </w:p>
        </w:tc>
        <w:tc>
          <w:tcPr>
            <w:tcW w:w="3109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全年执行数</w:t>
            </w:r>
          </w:p>
        </w:tc>
        <w:tc>
          <w:tcPr>
            <w:tcW w:w="809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分值</w:t>
            </w:r>
          </w:p>
        </w:tc>
        <w:tc>
          <w:tcPr>
            <w:tcW w:w="96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执行率</w:t>
            </w:r>
          </w:p>
        </w:tc>
        <w:tc>
          <w:tcPr>
            <w:tcW w:w="103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1253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3031" w:type="dxa"/>
            <w:gridSpan w:val="2"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年度资金总额</w:t>
            </w:r>
          </w:p>
        </w:tc>
        <w:tc>
          <w:tcPr>
            <w:tcW w:w="132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Cs w:val="21"/>
                <w:lang w:bidi="ar"/>
              </w:rPr>
              <w:t>245.69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15</w:t>
            </w:r>
          </w:p>
        </w:tc>
        <w:tc>
          <w:tcPr>
            <w:tcW w:w="137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Cs w:val="21"/>
                <w:lang w:bidi="ar"/>
              </w:rPr>
              <w:t>245.69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15</w:t>
            </w:r>
          </w:p>
        </w:tc>
        <w:tc>
          <w:tcPr>
            <w:tcW w:w="3109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2</w:t>
            </w: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45.4992</w:t>
            </w:r>
          </w:p>
        </w:tc>
        <w:tc>
          <w:tcPr>
            <w:tcW w:w="80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10</w:t>
            </w:r>
          </w:p>
        </w:tc>
        <w:tc>
          <w:tcPr>
            <w:tcW w:w="96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9</w:t>
            </w:r>
            <w:r>
              <w:rPr>
                <w:rFonts w:ascii="宋体" w:hAnsi="宋体" w:eastAsia="宋体" w:cs="宋体"/>
                <w:color w:val="auto"/>
                <w:kern w:val="0"/>
                <w:szCs w:val="21"/>
                <w:lang w:bidi="ar"/>
              </w:rPr>
              <w:t>9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.</w:t>
            </w:r>
            <w:r>
              <w:rPr>
                <w:rFonts w:ascii="宋体" w:hAnsi="宋体" w:eastAsia="宋体" w:cs="宋体"/>
                <w:color w:val="auto"/>
                <w:kern w:val="0"/>
                <w:szCs w:val="21"/>
                <w:lang w:bidi="ar"/>
              </w:rPr>
              <w:t>9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2%</w:t>
            </w:r>
          </w:p>
        </w:tc>
        <w:tc>
          <w:tcPr>
            <w:tcW w:w="103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9.</w:t>
            </w:r>
            <w:r>
              <w:rPr>
                <w:rFonts w:ascii="宋体" w:hAnsi="宋体" w:eastAsia="宋体" w:cs="宋体"/>
                <w:color w:val="auto"/>
                <w:kern w:val="0"/>
                <w:szCs w:val="21"/>
                <w:lang w:bidi="ar"/>
              </w:rPr>
              <w:t>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1253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3031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其中：当年财政拨款</w:t>
            </w:r>
          </w:p>
        </w:tc>
        <w:tc>
          <w:tcPr>
            <w:tcW w:w="132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Cs w:val="21"/>
                <w:lang w:bidi="ar"/>
              </w:rPr>
              <w:t>245.69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15</w:t>
            </w:r>
          </w:p>
        </w:tc>
        <w:tc>
          <w:tcPr>
            <w:tcW w:w="137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Cs w:val="21"/>
                <w:lang w:bidi="ar"/>
              </w:rPr>
              <w:t>245.69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15</w:t>
            </w:r>
          </w:p>
        </w:tc>
        <w:tc>
          <w:tcPr>
            <w:tcW w:w="3109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2</w:t>
            </w: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45.4992</w:t>
            </w:r>
          </w:p>
        </w:tc>
        <w:tc>
          <w:tcPr>
            <w:tcW w:w="80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-</w:t>
            </w:r>
          </w:p>
        </w:tc>
        <w:tc>
          <w:tcPr>
            <w:tcW w:w="96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Style w:val="12"/>
                <w:rFonts w:hint="default"/>
                <w:color w:val="auto"/>
                <w:lang w:bidi="ar"/>
              </w:rPr>
              <w:t>-</w:t>
            </w:r>
          </w:p>
        </w:tc>
        <w:tc>
          <w:tcPr>
            <w:tcW w:w="103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" w:hRule="atLeast"/>
          <w:jc w:val="center"/>
        </w:trPr>
        <w:tc>
          <w:tcPr>
            <w:tcW w:w="1253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3031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 xml:space="preserve">     上年结转资金</w:t>
            </w:r>
          </w:p>
        </w:tc>
        <w:tc>
          <w:tcPr>
            <w:tcW w:w="1325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-</w:t>
            </w:r>
          </w:p>
        </w:tc>
        <w:tc>
          <w:tcPr>
            <w:tcW w:w="137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-</w:t>
            </w:r>
          </w:p>
        </w:tc>
        <w:tc>
          <w:tcPr>
            <w:tcW w:w="3109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-</w:t>
            </w:r>
          </w:p>
        </w:tc>
        <w:tc>
          <w:tcPr>
            <w:tcW w:w="809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-</w:t>
            </w:r>
          </w:p>
        </w:tc>
        <w:tc>
          <w:tcPr>
            <w:tcW w:w="96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-</w:t>
            </w:r>
          </w:p>
        </w:tc>
        <w:tc>
          <w:tcPr>
            <w:tcW w:w="103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" w:hRule="atLeast"/>
          <w:jc w:val="center"/>
        </w:trPr>
        <w:tc>
          <w:tcPr>
            <w:tcW w:w="1253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3031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 xml:space="preserve">  其他资金</w:t>
            </w:r>
          </w:p>
        </w:tc>
        <w:tc>
          <w:tcPr>
            <w:tcW w:w="1325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-</w:t>
            </w:r>
          </w:p>
        </w:tc>
        <w:tc>
          <w:tcPr>
            <w:tcW w:w="137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-</w:t>
            </w:r>
          </w:p>
        </w:tc>
        <w:tc>
          <w:tcPr>
            <w:tcW w:w="3109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-</w:t>
            </w:r>
          </w:p>
        </w:tc>
        <w:tc>
          <w:tcPr>
            <w:tcW w:w="809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-</w:t>
            </w:r>
          </w:p>
        </w:tc>
        <w:tc>
          <w:tcPr>
            <w:tcW w:w="96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-</w:t>
            </w:r>
          </w:p>
        </w:tc>
        <w:tc>
          <w:tcPr>
            <w:tcW w:w="103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" w:hRule="atLeast"/>
          <w:jc w:val="center"/>
        </w:trPr>
        <w:tc>
          <w:tcPr>
            <w:tcW w:w="563" w:type="dxa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年度总体目标</w:t>
            </w:r>
          </w:p>
        </w:tc>
        <w:tc>
          <w:tcPr>
            <w:tcW w:w="6416" w:type="dxa"/>
            <w:gridSpan w:val="5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预期目标</w:t>
            </w:r>
          </w:p>
        </w:tc>
        <w:tc>
          <w:tcPr>
            <w:tcW w:w="5921" w:type="dxa"/>
            <w:gridSpan w:val="5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实际完成情况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7" w:hRule="atLeast"/>
          <w:jc w:val="center"/>
        </w:trPr>
        <w:tc>
          <w:tcPr>
            <w:tcW w:w="563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6416" w:type="dxa"/>
            <w:gridSpan w:val="5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中国国际服务贸易交易会（服贸会）是国家对外开放的三大会展平台之一，北京新视听展作为文旅服务专题的重要组成部分，全景展示我市视听领域科技创新、内容创作、技术服务、装备制造等全产业链发展成果。在</w:t>
            </w: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2022年中国服贸会，市广电局将继续组织主办北京新视听展，面向全市及国内外广播电视和网络视听行业，组织领军企业参展，设计展览方案，搭建展台展区，举办重要活动，全面展示视听行业内容、技术、产品、服务和体验活动等。</w:t>
            </w:r>
          </w:p>
        </w:tc>
        <w:tc>
          <w:tcPr>
            <w:tcW w:w="5921" w:type="dxa"/>
            <w:gridSpan w:val="5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北京新视听展由市广电局主办，位于首钢园区1号馆核心位置，展览面积1100余平方米，是今年服贸会文旅服务展区中面积最大的专题展区。北京新视听展以迎接党的二十大为主线，聚焦“视听改变生活，数字创造未来”，从8K超高清视听体验、智慧广电建设成就、科技冬奥成果示范、元宇宙视听沉浸式体验、数字经济视听消费场景、影音数字化修复体验和影视精品七个特色板块，全景呈现北京视听领域全产业链发展成果。北京新视听展成为今年服贸会首钢园区亮点最多、人气最旺、媒体曝光率最高的展区之一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tblHeader/>
          <w:jc w:val="center"/>
        </w:trPr>
        <w:tc>
          <w:tcPr>
            <w:tcW w:w="563" w:type="dxa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绩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效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指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标</w:t>
            </w:r>
          </w:p>
        </w:tc>
        <w:tc>
          <w:tcPr>
            <w:tcW w:w="69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一级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指标</w:t>
            </w:r>
          </w:p>
        </w:tc>
        <w:tc>
          <w:tcPr>
            <w:tcW w:w="80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二级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指标</w:t>
            </w:r>
          </w:p>
        </w:tc>
        <w:tc>
          <w:tcPr>
            <w:tcW w:w="2231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三级指标</w:t>
            </w:r>
          </w:p>
        </w:tc>
        <w:tc>
          <w:tcPr>
            <w:tcW w:w="2695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指标值</w:t>
            </w:r>
          </w:p>
        </w:tc>
        <w:tc>
          <w:tcPr>
            <w:tcW w:w="209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完成值</w:t>
            </w:r>
          </w:p>
        </w:tc>
        <w:tc>
          <w:tcPr>
            <w:tcW w:w="101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分值</w:t>
            </w:r>
          </w:p>
        </w:tc>
        <w:tc>
          <w:tcPr>
            <w:tcW w:w="809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得分</w:t>
            </w:r>
          </w:p>
        </w:tc>
        <w:tc>
          <w:tcPr>
            <w:tcW w:w="2003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偏差原因分析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及改进措施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0" w:hRule="atLeast"/>
          <w:jc w:val="center"/>
        </w:trPr>
        <w:tc>
          <w:tcPr>
            <w:tcW w:w="563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690" w:type="dxa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产出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指标</w:t>
            </w:r>
          </w:p>
        </w:tc>
        <w:tc>
          <w:tcPr>
            <w:tcW w:w="800" w:type="dxa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数量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指标</w:t>
            </w:r>
          </w:p>
        </w:tc>
        <w:tc>
          <w:tcPr>
            <w:tcW w:w="2231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展览、展示面积</w:t>
            </w:r>
          </w:p>
        </w:tc>
        <w:tc>
          <w:tcPr>
            <w:tcW w:w="2695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  <w:lang w:eastAsia="zh-Hans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Cs w:val="21"/>
                <w:lang w:bidi="ar"/>
              </w:rPr>
              <w:t>1500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平米</w:t>
            </w:r>
          </w:p>
        </w:tc>
        <w:tc>
          <w:tcPr>
            <w:tcW w:w="2093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1100余平米</w:t>
            </w:r>
          </w:p>
        </w:tc>
        <w:tc>
          <w:tcPr>
            <w:tcW w:w="101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Cs w:val="21"/>
                <w:lang w:bidi="ar"/>
              </w:rPr>
              <w:t>5</w:t>
            </w:r>
          </w:p>
        </w:tc>
        <w:tc>
          <w:tcPr>
            <w:tcW w:w="80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4</w:t>
            </w:r>
          </w:p>
        </w:tc>
        <w:tc>
          <w:tcPr>
            <w:tcW w:w="2003" w:type="dxa"/>
            <w:gridSpan w:val="2"/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按照文旅服务专题领导小组统一部署，新视听展展览面积1100余平米，搭建面积816平米。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563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690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800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2231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展览天数</w:t>
            </w:r>
          </w:p>
        </w:tc>
        <w:tc>
          <w:tcPr>
            <w:tcW w:w="2695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3天</w:t>
            </w:r>
          </w:p>
        </w:tc>
        <w:tc>
          <w:tcPr>
            <w:tcW w:w="2093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5天</w:t>
            </w:r>
          </w:p>
        </w:tc>
        <w:tc>
          <w:tcPr>
            <w:tcW w:w="101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Cs w:val="21"/>
                <w:lang w:bidi="ar"/>
              </w:rPr>
              <w:t>5</w:t>
            </w:r>
          </w:p>
        </w:tc>
        <w:tc>
          <w:tcPr>
            <w:tcW w:w="80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5</w:t>
            </w:r>
          </w:p>
        </w:tc>
        <w:tc>
          <w:tcPr>
            <w:tcW w:w="2003" w:type="dxa"/>
            <w:gridSpan w:val="2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563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690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80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质量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指标</w:t>
            </w:r>
          </w:p>
        </w:tc>
        <w:tc>
          <w:tcPr>
            <w:tcW w:w="2231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确保展会现场安全，活动顺利开展</w:t>
            </w:r>
          </w:p>
        </w:tc>
        <w:tc>
          <w:tcPr>
            <w:tcW w:w="2695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eastAsia="zh-Hans"/>
              </w:rPr>
              <w:t>优</w:t>
            </w:r>
          </w:p>
        </w:tc>
        <w:tc>
          <w:tcPr>
            <w:tcW w:w="2093" w:type="dxa"/>
            <w:vAlign w:val="center"/>
          </w:tcPr>
          <w:p>
            <w:pPr>
              <w:jc w:val="both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确保展会现场安全，活动顺利开展。</w:t>
            </w:r>
          </w:p>
        </w:tc>
        <w:tc>
          <w:tcPr>
            <w:tcW w:w="101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1</w:t>
            </w: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0</w:t>
            </w:r>
          </w:p>
        </w:tc>
        <w:tc>
          <w:tcPr>
            <w:tcW w:w="80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9</w:t>
            </w:r>
          </w:p>
        </w:tc>
        <w:tc>
          <w:tcPr>
            <w:tcW w:w="2003" w:type="dxa"/>
            <w:gridSpan w:val="2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563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690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800" w:type="dxa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时效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指标</w:t>
            </w:r>
          </w:p>
        </w:tc>
        <w:tc>
          <w:tcPr>
            <w:tcW w:w="2231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服贸会开会时间</w:t>
            </w:r>
          </w:p>
        </w:tc>
        <w:tc>
          <w:tcPr>
            <w:tcW w:w="2695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≤9月</w:t>
            </w:r>
          </w:p>
        </w:tc>
        <w:tc>
          <w:tcPr>
            <w:tcW w:w="2093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9月</w:t>
            </w:r>
          </w:p>
        </w:tc>
        <w:tc>
          <w:tcPr>
            <w:tcW w:w="101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3</w:t>
            </w:r>
          </w:p>
        </w:tc>
        <w:tc>
          <w:tcPr>
            <w:tcW w:w="80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3</w:t>
            </w:r>
          </w:p>
        </w:tc>
        <w:tc>
          <w:tcPr>
            <w:tcW w:w="2003" w:type="dxa"/>
            <w:gridSpan w:val="2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563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690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800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2231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采购时间</w:t>
            </w:r>
          </w:p>
        </w:tc>
        <w:tc>
          <w:tcPr>
            <w:tcW w:w="2695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≤</w:t>
            </w:r>
            <w:r>
              <w:rPr>
                <w:rFonts w:ascii="宋体" w:hAnsi="宋体" w:eastAsia="宋体" w:cs="宋体"/>
                <w:color w:val="auto"/>
                <w:kern w:val="0"/>
                <w:szCs w:val="21"/>
                <w:lang w:bidi="ar"/>
              </w:rPr>
              <w:t>7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月</w:t>
            </w:r>
          </w:p>
        </w:tc>
        <w:tc>
          <w:tcPr>
            <w:tcW w:w="2093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7月</w:t>
            </w:r>
          </w:p>
        </w:tc>
        <w:tc>
          <w:tcPr>
            <w:tcW w:w="101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3</w:t>
            </w:r>
          </w:p>
        </w:tc>
        <w:tc>
          <w:tcPr>
            <w:tcW w:w="80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3</w:t>
            </w:r>
          </w:p>
        </w:tc>
        <w:tc>
          <w:tcPr>
            <w:tcW w:w="2003" w:type="dxa"/>
            <w:gridSpan w:val="2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563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690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800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2231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完成时间</w:t>
            </w:r>
          </w:p>
        </w:tc>
        <w:tc>
          <w:tcPr>
            <w:tcW w:w="2695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≤</w:t>
            </w:r>
            <w:r>
              <w:rPr>
                <w:rFonts w:ascii="宋体" w:hAnsi="宋体" w:eastAsia="宋体" w:cs="宋体"/>
                <w:color w:val="auto"/>
                <w:kern w:val="0"/>
                <w:szCs w:val="21"/>
                <w:lang w:bidi="ar"/>
              </w:rPr>
              <w:t>12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月</w:t>
            </w:r>
          </w:p>
        </w:tc>
        <w:tc>
          <w:tcPr>
            <w:tcW w:w="2093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1</w:t>
            </w: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2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月</w:t>
            </w:r>
          </w:p>
        </w:tc>
        <w:tc>
          <w:tcPr>
            <w:tcW w:w="101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4</w:t>
            </w:r>
          </w:p>
        </w:tc>
        <w:tc>
          <w:tcPr>
            <w:tcW w:w="80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4</w:t>
            </w:r>
          </w:p>
        </w:tc>
        <w:tc>
          <w:tcPr>
            <w:tcW w:w="2003" w:type="dxa"/>
            <w:gridSpan w:val="2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  <w:jc w:val="center"/>
        </w:trPr>
        <w:tc>
          <w:tcPr>
            <w:tcW w:w="563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690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80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成本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指标</w:t>
            </w:r>
          </w:p>
        </w:tc>
        <w:tc>
          <w:tcPr>
            <w:tcW w:w="2231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项目总成本</w:t>
            </w:r>
          </w:p>
        </w:tc>
        <w:tc>
          <w:tcPr>
            <w:tcW w:w="2695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＝</w:t>
            </w:r>
            <w:r>
              <w:rPr>
                <w:rFonts w:ascii="宋体" w:hAnsi="宋体" w:eastAsia="宋体" w:cs="宋体"/>
                <w:color w:val="auto"/>
                <w:kern w:val="0"/>
                <w:szCs w:val="21"/>
                <w:lang w:bidi="ar"/>
              </w:rPr>
              <w:t>245.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6915万元</w:t>
            </w:r>
          </w:p>
        </w:tc>
        <w:tc>
          <w:tcPr>
            <w:tcW w:w="2093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2</w:t>
            </w: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45.4992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万元</w:t>
            </w:r>
          </w:p>
        </w:tc>
        <w:tc>
          <w:tcPr>
            <w:tcW w:w="101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Cs w:val="21"/>
                <w:lang w:bidi="ar"/>
              </w:rPr>
              <w:t>10</w:t>
            </w:r>
          </w:p>
        </w:tc>
        <w:tc>
          <w:tcPr>
            <w:tcW w:w="80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10</w:t>
            </w:r>
          </w:p>
        </w:tc>
        <w:tc>
          <w:tcPr>
            <w:tcW w:w="2003" w:type="dxa"/>
            <w:gridSpan w:val="2"/>
            <w:vAlign w:val="center"/>
          </w:tcPr>
          <w:p>
            <w:pPr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6" w:hRule="atLeast"/>
          <w:jc w:val="center"/>
        </w:trPr>
        <w:tc>
          <w:tcPr>
            <w:tcW w:w="563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690" w:type="dxa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指标</w:t>
            </w:r>
          </w:p>
        </w:tc>
        <w:tc>
          <w:tcPr>
            <w:tcW w:w="800" w:type="dxa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社会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指标</w:t>
            </w:r>
          </w:p>
        </w:tc>
        <w:tc>
          <w:tcPr>
            <w:tcW w:w="2231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提升领军企业在北京市及国内外广播电视和网络视听行业影响力</w:t>
            </w:r>
          </w:p>
        </w:tc>
        <w:tc>
          <w:tcPr>
            <w:tcW w:w="2695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优</w:t>
            </w:r>
          </w:p>
        </w:tc>
        <w:tc>
          <w:tcPr>
            <w:tcW w:w="2093" w:type="dxa"/>
            <w:vAlign w:val="center"/>
          </w:tcPr>
          <w:p>
            <w:pPr>
              <w:jc w:val="both"/>
              <w:rPr>
                <w:rFonts w:ascii="宋体" w:hAnsi="宋体" w:eastAsia="宋体" w:cs="宋体"/>
                <w:bCs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提升领军企业在北京市及国内外广播电视和网络视听行业影响力。</w:t>
            </w:r>
          </w:p>
        </w:tc>
        <w:tc>
          <w:tcPr>
            <w:tcW w:w="101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10</w:t>
            </w:r>
          </w:p>
        </w:tc>
        <w:tc>
          <w:tcPr>
            <w:tcW w:w="80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9</w:t>
            </w:r>
          </w:p>
        </w:tc>
        <w:tc>
          <w:tcPr>
            <w:tcW w:w="2003" w:type="dxa"/>
            <w:gridSpan w:val="2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8" w:hRule="atLeast"/>
          <w:jc w:val="center"/>
        </w:trPr>
        <w:tc>
          <w:tcPr>
            <w:tcW w:w="563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690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800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2231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全景展示北京市视听领域全产业链发展成果</w:t>
            </w:r>
          </w:p>
        </w:tc>
        <w:tc>
          <w:tcPr>
            <w:tcW w:w="2695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优</w:t>
            </w:r>
          </w:p>
        </w:tc>
        <w:tc>
          <w:tcPr>
            <w:tcW w:w="2093" w:type="dxa"/>
            <w:vAlign w:val="center"/>
          </w:tcPr>
          <w:p>
            <w:pPr>
              <w:jc w:val="both"/>
              <w:rPr>
                <w:rFonts w:ascii="宋体" w:hAnsi="宋体" w:eastAsia="宋体" w:cs="宋体"/>
                <w:b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全景展示北京市视听领域全产业链发展成果。</w:t>
            </w:r>
          </w:p>
        </w:tc>
        <w:tc>
          <w:tcPr>
            <w:tcW w:w="101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Cs w:val="21"/>
                <w:lang w:bidi="ar"/>
              </w:rPr>
              <w:t>10</w:t>
            </w:r>
          </w:p>
        </w:tc>
        <w:tc>
          <w:tcPr>
            <w:tcW w:w="80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9</w:t>
            </w:r>
          </w:p>
        </w:tc>
        <w:tc>
          <w:tcPr>
            <w:tcW w:w="2003" w:type="dxa"/>
            <w:gridSpan w:val="2"/>
          </w:tcPr>
          <w:p>
            <w:pPr>
              <w:jc w:val="left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1" w:hRule="atLeast"/>
          <w:jc w:val="center"/>
        </w:trPr>
        <w:tc>
          <w:tcPr>
            <w:tcW w:w="563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690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80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可持续影响指标</w:t>
            </w:r>
          </w:p>
        </w:tc>
        <w:tc>
          <w:tcPr>
            <w:tcW w:w="2231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展览展示视听领域新技术、新设备和新服务，产品设备等展品种类多样，互动体验活动丰富多彩</w:t>
            </w:r>
          </w:p>
        </w:tc>
        <w:tc>
          <w:tcPr>
            <w:tcW w:w="2695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优</w:t>
            </w:r>
          </w:p>
        </w:tc>
        <w:tc>
          <w:tcPr>
            <w:tcW w:w="2093" w:type="dxa"/>
            <w:vAlign w:val="center"/>
          </w:tcPr>
          <w:p>
            <w:pPr>
              <w:jc w:val="both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展览展示视听领域新技术、新设备和新服务，产品设备等展品种类多样，互动体验活动丰富多彩。</w:t>
            </w:r>
          </w:p>
        </w:tc>
        <w:tc>
          <w:tcPr>
            <w:tcW w:w="101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2</w:t>
            </w:r>
            <w:r>
              <w:rPr>
                <w:rFonts w:ascii="宋体" w:hAnsi="宋体" w:eastAsia="宋体" w:cs="宋体"/>
                <w:color w:val="auto"/>
                <w:kern w:val="0"/>
                <w:szCs w:val="21"/>
                <w:lang w:bidi="ar"/>
              </w:rPr>
              <w:t>0</w:t>
            </w:r>
          </w:p>
        </w:tc>
        <w:tc>
          <w:tcPr>
            <w:tcW w:w="80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18</w:t>
            </w:r>
          </w:p>
        </w:tc>
        <w:tc>
          <w:tcPr>
            <w:tcW w:w="2003" w:type="dxa"/>
            <w:gridSpan w:val="2"/>
          </w:tcPr>
          <w:p>
            <w:pPr>
              <w:jc w:val="left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0" w:hRule="atLeast"/>
          <w:jc w:val="center"/>
        </w:trPr>
        <w:tc>
          <w:tcPr>
            <w:tcW w:w="563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69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满意度指标</w:t>
            </w:r>
          </w:p>
        </w:tc>
        <w:tc>
          <w:tcPr>
            <w:tcW w:w="80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服务对象满意度指标</w:t>
            </w:r>
          </w:p>
        </w:tc>
        <w:tc>
          <w:tcPr>
            <w:tcW w:w="2231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参团企业满意度</w:t>
            </w:r>
          </w:p>
        </w:tc>
        <w:tc>
          <w:tcPr>
            <w:tcW w:w="2695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≥</w:t>
            </w:r>
            <w:r>
              <w:rPr>
                <w:rFonts w:ascii="宋体" w:hAnsi="宋体" w:eastAsia="宋体" w:cs="宋体"/>
                <w:color w:val="auto"/>
                <w:kern w:val="0"/>
                <w:szCs w:val="21"/>
                <w:lang w:bidi="ar"/>
              </w:rPr>
              <w:t>80%</w:t>
            </w:r>
          </w:p>
        </w:tc>
        <w:tc>
          <w:tcPr>
            <w:tcW w:w="2093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90%</w:t>
            </w:r>
          </w:p>
        </w:tc>
        <w:tc>
          <w:tcPr>
            <w:tcW w:w="101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1</w:t>
            </w:r>
            <w:r>
              <w:rPr>
                <w:rFonts w:ascii="宋体" w:hAnsi="宋体" w:eastAsia="宋体" w:cs="宋体"/>
                <w:color w:val="auto"/>
                <w:kern w:val="0"/>
                <w:szCs w:val="21"/>
                <w:lang w:bidi="ar"/>
              </w:rPr>
              <w:t>0</w:t>
            </w:r>
          </w:p>
        </w:tc>
        <w:tc>
          <w:tcPr>
            <w:tcW w:w="80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10</w:t>
            </w:r>
          </w:p>
        </w:tc>
        <w:tc>
          <w:tcPr>
            <w:tcW w:w="2003" w:type="dxa"/>
            <w:gridSpan w:val="2"/>
          </w:tcPr>
          <w:p>
            <w:pPr>
              <w:jc w:val="left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9072" w:type="dxa"/>
            <w:gridSpan w:val="7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总分</w:t>
            </w:r>
          </w:p>
        </w:tc>
        <w:tc>
          <w:tcPr>
            <w:tcW w:w="101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1</w:t>
            </w: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00</w:t>
            </w:r>
          </w:p>
        </w:tc>
        <w:tc>
          <w:tcPr>
            <w:tcW w:w="809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9</w:t>
            </w: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3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.99</w:t>
            </w:r>
          </w:p>
        </w:tc>
        <w:tc>
          <w:tcPr>
            <w:tcW w:w="2003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</w:tr>
      <w:bookmarkEnd w:id="0"/>
    </w:tbl>
    <w:p/>
    <w:sectPr>
      <w:footerReference r:id="rId3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794257457"/>
    </w:sdtPr>
    <w:sdtContent>
      <w:p>
        <w:pPr>
          <w:pStyle w:val="5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3</w:t>
        </w:r>
        <w:r>
          <w:fldChar w:fldCharType="end"/>
        </w:r>
      </w:p>
    </w:sdtContent>
  </w:sdt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4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EwNTM5NzYwMDRjMzkwZTVkZjY2ODkwMGIxNGU0OTUifQ=="/>
  </w:docVars>
  <w:rsids>
    <w:rsidRoot w:val="003E1BB0"/>
    <w:rsid w:val="000D6D91"/>
    <w:rsid w:val="001D104D"/>
    <w:rsid w:val="002475CF"/>
    <w:rsid w:val="00355867"/>
    <w:rsid w:val="003A6672"/>
    <w:rsid w:val="003A7CB2"/>
    <w:rsid w:val="003E1BB0"/>
    <w:rsid w:val="00495E46"/>
    <w:rsid w:val="004A48C5"/>
    <w:rsid w:val="00536794"/>
    <w:rsid w:val="0058135A"/>
    <w:rsid w:val="005F0604"/>
    <w:rsid w:val="005F7D1B"/>
    <w:rsid w:val="0068339F"/>
    <w:rsid w:val="006D132B"/>
    <w:rsid w:val="00712C82"/>
    <w:rsid w:val="00744EF2"/>
    <w:rsid w:val="007678E3"/>
    <w:rsid w:val="007A2044"/>
    <w:rsid w:val="00831D80"/>
    <w:rsid w:val="00862F08"/>
    <w:rsid w:val="00962E97"/>
    <w:rsid w:val="00975029"/>
    <w:rsid w:val="009A0908"/>
    <w:rsid w:val="009F74AD"/>
    <w:rsid w:val="00A157AA"/>
    <w:rsid w:val="00A648AE"/>
    <w:rsid w:val="00A85F62"/>
    <w:rsid w:val="00B22D30"/>
    <w:rsid w:val="00BA43A8"/>
    <w:rsid w:val="00BD1405"/>
    <w:rsid w:val="00C01ED6"/>
    <w:rsid w:val="00C5741D"/>
    <w:rsid w:val="00CA12C8"/>
    <w:rsid w:val="00CA6A13"/>
    <w:rsid w:val="00D31ADA"/>
    <w:rsid w:val="00D4127E"/>
    <w:rsid w:val="00DA5901"/>
    <w:rsid w:val="00E37E47"/>
    <w:rsid w:val="00F867FA"/>
    <w:rsid w:val="00FE68D2"/>
    <w:rsid w:val="04A72D24"/>
    <w:rsid w:val="06FF0FE9"/>
    <w:rsid w:val="0B9423EC"/>
    <w:rsid w:val="0F340509"/>
    <w:rsid w:val="137CEAB0"/>
    <w:rsid w:val="172D48D7"/>
    <w:rsid w:val="1ED83B6C"/>
    <w:rsid w:val="23395244"/>
    <w:rsid w:val="23AA23D4"/>
    <w:rsid w:val="2DFC7646"/>
    <w:rsid w:val="342F5CDB"/>
    <w:rsid w:val="35E65052"/>
    <w:rsid w:val="3CC77862"/>
    <w:rsid w:val="3CFDEAAF"/>
    <w:rsid w:val="3DDF03ED"/>
    <w:rsid w:val="3DFED028"/>
    <w:rsid w:val="3F79605C"/>
    <w:rsid w:val="3FBE7A31"/>
    <w:rsid w:val="46C03FD3"/>
    <w:rsid w:val="47AB5220"/>
    <w:rsid w:val="4F911547"/>
    <w:rsid w:val="56E75286"/>
    <w:rsid w:val="57CF4473"/>
    <w:rsid w:val="5DCE101C"/>
    <w:rsid w:val="5FECBAA5"/>
    <w:rsid w:val="64F91E8D"/>
    <w:rsid w:val="6BEF26A4"/>
    <w:rsid w:val="6BFD86CA"/>
    <w:rsid w:val="6CD6F9EF"/>
    <w:rsid w:val="6EFE0289"/>
    <w:rsid w:val="6FBBB463"/>
    <w:rsid w:val="6FD24B77"/>
    <w:rsid w:val="6FDFFB5E"/>
    <w:rsid w:val="7BDF606F"/>
    <w:rsid w:val="7CB7BB9C"/>
    <w:rsid w:val="7D5F7F81"/>
    <w:rsid w:val="7F8FF698"/>
    <w:rsid w:val="7FF0E474"/>
    <w:rsid w:val="9FED2A8B"/>
    <w:rsid w:val="AFEF1C2A"/>
    <w:rsid w:val="BFFA1138"/>
    <w:rsid w:val="C8F1A8AF"/>
    <w:rsid w:val="CF733069"/>
    <w:rsid w:val="E6FB7963"/>
    <w:rsid w:val="E7DC4E7F"/>
    <w:rsid w:val="EA7FF176"/>
    <w:rsid w:val="F7B73E5E"/>
    <w:rsid w:val="F9F5BEEC"/>
    <w:rsid w:val="FBEF1BDE"/>
    <w:rsid w:val="FD3EB7E0"/>
    <w:rsid w:val="FF7A3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djustRightInd w:val="0"/>
      <w:ind w:firstLine="420"/>
    </w:pPr>
    <w:rPr>
      <w:rFonts w:ascii="宋体"/>
      <w:sz w:val="24"/>
      <w:szCs w:val="20"/>
    </w:rPr>
  </w:style>
  <w:style w:type="paragraph" w:styleId="3">
    <w:name w:val="annotation text"/>
    <w:basedOn w:val="1"/>
    <w:semiHidden/>
    <w:unhideWhenUsed/>
    <w:uiPriority w:val="99"/>
    <w:pPr>
      <w:jc w:val="left"/>
    </w:pPr>
  </w:style>
  <w:style w:type="paragraph" w:styleId="4">
    <w:name w:val="Balloon Text"/>
    <w:basedOn w:val="1"/>
    <w:link w:val="13"/>
    <w:semiHidden/>
    <w:unhideWhenUsed/>
    <w:uiPriority w:val="99"/>
    <w:rPr>
      <w:sz w:val="18"/>
      <w:szCs w:val="18"/>
    </w:rPr>
  </w:style>
  <w:style w:type="paragraph" w:styleId="5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annotation reference"/>
    <w:basedOn w:val="8"/>
    <w:semiHidden/>
    <w:unhideWhenUsed/>
    <w:uiPriority w:val="99"/>
    <w:rPr>
      <w:sz w:val="21"/>
      <w:szCs w:val="21"/>
    </w:rPr>
  </w:style>
  <w:style w:type="character" w:customStyle="1" w:styleId="10">
    <w:name w:val="页眉 Char"/>
    <w:basedOn w:val="8"/>
    <w:link w:val="6"/>
    <w:qFormat/>
    <w:uiPriority w:val="99"/>
    <w:rPr>
      <w:sz w:val="18"/>
      <w:szCs w:val="18"/>
    </w:rPr>
  </w:style>
  <w:style w:type="character" w:customStyle="1" w:styleId="11">
    <w:name w:val="页脚 Char"/>
    <w:basedOn w:val="8"/>
    <w:link w:val="5"/>
    <w:qFormat/>
    <w:uiPriority w:val="99"/>
    <w:rPr>
      <w:sz w:val="18"/>
      <w:szCs w:val="18"/>
    </w:rPr>
  </w:style>
  <w:style w:type="character" w:customStyle="1" w:styleId="12">
    <w:name w:val="font21"/>
    <w:basedOn w:val="8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13">
    <w:name w:val="批注框文本 Char"/>
    <w:basedOn w:val="8"/>
    <w:link w:val="4"/>
    <w:semiHidden/>
    <w:uiPriority w:val="99"/>
    <w:rPr>
      <w:rFonts w:asciiTheme="minorHAnsi" w:hAnsiTheme="minorHAnsi" w:eastAsiaTheme="minorEastAsia" w:cstheme="minorBidi"/>
      <w:kern w:val="2"/>
      <w:sz w:val="18"/>
      <w:szCs w:val="18"/>
      <w14:ligatures w14:val="standardContextual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207</Words>
  <Characters>1181</Characters>
  <Lines>9</Lines>
  <Paragraphs>2</Paragraphs>
  <TotalTime>3</TotalTime>
  <ScaleCrop>false</ScaleCrop>
  <LinksUpToDate>false</LinksUpToDate>
  <CharactersWithSpaces>1386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2023-05-19T02:43:00Z</dcterms:created>
  <dc:creator>孟 宁</dc:creator>
  <cp:lastModifiedBy>lzc</cp:lastModifiedBy>
  <dcterms:modified xsi:type="dcterms:W3CDTF">2023-08-17T06:30:22Z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37145D9659264C7E88045E4E691490DC_13</vt:lpwstr>
  </property>
</Properties>
</file>