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08"/>
        <w:gridCol w:w="821"/>
        <w:gridCol w:w="2288"/>
        <w:gridCol w:w="1360"/>
        <w:gridCol w:w="1405"/>
        <w:gridCol w:w="2474"/>
        <w:gridCol w:w="715"/>
        <w:gridCol w:w="831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943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</w:t>
            </w:r>
            <w:r>
              <w:rPr>
                <w:rFonts w:ascii="宋体" w:hAnsi="宋体" w:eastAsia="宋体" w:cs="宋体"/>
                <w:kern w:val="0"/>
                <w:szCs w:val="21"/>
              </w:rPr>
              <w:t>电视局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机动经费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587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5874" w:type="dxa"/>
            <w:gridSpan w:val="4"/>
            <w:vAlign w:val="center"/>
          </w:tcPr>
          <w:p>
            <w:pPr>
              <w:widowControl/>
              <w:spacing w:line="240" w:lineRule="exact"/>
              <w:ind w:firstLine="2520" w:firstLineChars="1200"/>
              <w:jc w:val="both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Cs w:val="21"/>
              </w:rPr>
              <w:t>贾</w:t>
            </w:r>
            <w:r>
              <w:rPr>
                <w:rFonts w:ascii="宋体" w:hAnsi="宋体" w:eastAsia="宋体" w:cs="宋体"/>
                <w:kern w:val="0"/>
                <w:szCs w:val="21"/>
              </w:rPr>
              <w:t>丁丁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5556543</w:t>
            </w:r>
            <w:r>
              <w:rPr>
                <w:rFonts w:ascii="宋体" w:hAnsi="宋体" w:eastAsia="宋体" w:cs="宋体"/>
                <w:kern w:val="0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200.00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200.00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162.99428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81.5%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200.00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200.00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162.99428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Style w:val="10"/>
                <w:rFonts w:hint="default"/>
                <w:lang w:bidi="ar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582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069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582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按照《北京市财政局关于进一步加强市级机动经费使用管理的通知》要求使用资金，解决我局临时、紧急项目，发放本单位在职及离退休、退职人员死亡一次性抚恤金等。</w:t>
            </w:r>
          </w:p>
        </w:tc>
        <w:tc>
          <w:tcPr>
            <w:tcW w:w="6069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按照《北京市财政局关于进一步加强市级机动经费使用管理的通知》要求执行。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8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7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严格执行市级机动经费使用管理的相关规定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优</w:t>
            </w:r>
          </w:p>
        </w:tc>
        <w:tc>
          <w:tcPr>
            <w:tcW w:w="2474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严格执行市级机动经费使用管理的相关规定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不超范围使用机动经费</w:t>
            </w:r>
          </w:p>
        </w:tc>
        <w:tc>
          <w:tcPr>
            <w:tcW w:w="27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优</w:t>
            </w:r>
          </w:p>
        </w:tc>
        <w:tc>
          <w:tcPr>
            <w:tcW w:w="24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按要求完成</w:t>
            </w:r>
          </w:p>
        </w:tc>
        <w:tc>
          <w:tcPr>
            <w:tcW w:w="71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</w:t>
            </w:r>
          </w:p>
        </w:tc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</w:t>
            </w:r>
          </w:p>
        </w:tc>
        <w:tc>
          <w:tcPr>
            <w:tcW w:w="20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按规定发放本单位在职及离退休、退职人员死亡一次性抚恤金。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按照《北京市财政局关于进一步加强市级机动经费使用管理的通知》要求，发放本单位离退休干部死亡抚恤金。</w:t>
            </w:r>
          </w:p>
        </w:tc>
        <w:tc>
          <w:tcPr>
            <w:tcW w:w="7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</w:t>
            </w:r>
          </w:p>
        </w:tc>
        <w:tc>
          <w:tcPr>
            <w:tcW w:w="8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每季度结束后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5个工作日内，将上一季度机动经费使用情况，上报市财政局进行备案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。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优</w:t>
            </w:r>
          </w:p>
        </w:tc>
        <w:tc>
          <w:tcPr>
            <w:tcW w:w="247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按要求</w:t>
            </w:r>
            <w:r>
              <w:rPr>
                <w:rFonts w:ascii="宋体" w:hAnsi="宋体" w:eastAsia="宋体" w:cs="宋体"/>
                <w:kern w:val="0"/>
                <w:szCs w:val="21"/>
              </w:rPr>
              <w:t>完成</w:t>
            </w:r>
          </w:p>
        </w:tc>
        <w:tc>
          <w:tcPr>
            <w:tcW w:w="715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831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≤2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00.00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162.99428万元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16.3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中央及市委、市政府确定的新增、临时、紧急项目得到解决。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2474" w:type="dxa"/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中央及市委、市政府确定的新增、临时、紧急项目得到解决。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编制内增加人员的基本支出、财政政策确定的新增要求得到解决。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2474" w:type="dxa"/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根据要求发放人员抚恤金；完成市政府临时性任务。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15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634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94.45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13BC6"/>
    <w:rsid w:val="00067F4A"/>
    <w:rsid w:val="00090CC9"/>
    <w:rsid w:val="000971F0"/>
    <w:rsid w:val="000D39EC"/>
    <w:rsid w:val="000E5573"/>
    <w:rsid w:val="0013445E"/>
    <w:rsid w:val="001800D6"/>
    <w:rsid w:val="001D104D"/>
    <w:rsid w:val="001E2191"/>
    <w:rsid w:val="00220FD2"/>
    <w:rsid w:val="002475CF"/>
    <w:rsid w:val="00265B07"/>
    <w:rsid w:val="00267726"/>
    <w:rsid w:val="00271621"/>
    <w:rsid w:val="002B6AC7"/>
    <w:rsid w:val="002C44BE"/>
    <w:rsid w:val="0031651A"/>
    <w:rsid w:val="003259A1"/>
    <w:rsid w:val="00340462"/>
    <w:rsid w:val="00355867"/>
    <w:rsid w:val="00362236"/>
    <w:rsid w:val="003641B4"/>
    <w:rsid w:val="003A7CB2"/>
    <w:rsid w:val="003E1BB0"/>
    <w:rsid w:val="003F13B9"/>
    <w:rsid w:val="00416E5D"/>
    <w:rsid w:val="00450C0D"/>
    <w:rsid w:val="00473F55"/>
    <w:rsid w:val="004748EB"/>
    <w:rsid w:val="00480E29"/>
    <w:rsid w:val="004B45BD"/>
    <w:rsid w:val="005028F4"/>
    <w:rsid w:val="00552E0E"/>
    <w:rsid w:val="006B58C2"/>
    <w:rsid w:val="006D132B"/>
    <w:rsid w:val="006F72F3"/>
    <w:rsid w:val="007819D8"/>
    <w:rsid w:val="00813B62"/>
    <w:rsid w:val="008149B7"/>
    <w:rsid w:val="00831D80"/>
    <w:rsid w:val="00842E96"/>
    <w:rsid w:val="008956F2"/>
    <w:rsid w:val="008A1879"/>
    <w:rsid w:val="008A4929"/>
    <w:rsid w:val="008F77BB"/>
    <w:rsid w:val="0092394C"/>
    <w:rsid w:val="00923B25"/>
    <w:rsid w:val="009260CE"/>
    <w:rsid w:val="00933925"/>
    <w:rsid w:val="00975029"/>
    <w:rsid w:val="00A153F0"/>
    <w:rsid w:val="00A42522"/>
    <w:rsid w:val="00A56162"/>
    <w:rsid w:val="00A85F62"/>
    <w:rsid w:val="00A8772D"/>
    <w:rsid w:val="00A94E65"/>
    <w:rsid w:val="00AB3B26"/>
    <w:rsid w:val="00B7230C"/>
    <w:rsid w:val="00BA43A8"/>
    <w:rsid w:val="00BB47CC"/>
    <w:rsid w:val="00BD1405"/>
    <w:rsid w:val="00BF7E60"/>
    <w:rsid w:val="00C01ED6"/>
    <w:rsid w:val="00C6041E"/>
    <w:rsid w:val="00C73606"/>
    <w:rsid w:val="00C9136B"/>
    <w:rsid w:val="00C9743D"/>
    <w:rsid w:val="00CD4355"/>
    <w:rsid w:val="00D22487"/>
    <w:rsid w:val="00D658FA"/>
    <w:rsid w:val="00DA5901"/>
    <w:rsid w:val="00E13FAA"/>
    <w:rsid w:val="00E67DD4"/>
    <w:rsid w:val="00E80811"/>
    <w:rsid w:val="00E92262"/>
    <w:rsid w:val="00F07EBB"/>
    <w:rsid w:val="00F16334"/>
    <w:rsid w:val="00F202CA"/>
    <w:rsid w:val="00F43D32"/>
    <w:rsid w:val="00F705F6"/>
    <w:rsid w:val="00F73098"/>
    <w:rsid w:val="00F867FA"/>
    <w:rsid w:val="00FB1123"/>
    <w:rsid w:val="00FE6189"/>
    <w:rsid w:val="04A72D24"/>
    <w:rsid w:val="06F34B1C"/>
    <w:rsid w:val="0C6612D0"/>
    <w:rsid w:val="0F340509"/>
    <w:rsid w:val="172D48D7"/>
    <w:rsid w:val="1ED83B6C"/>
    <w:rsid w:val="342F5CDB"/>
    <w:rsid w:val="3BC3722B"/>
    <w:rsid w:val="3CAA1DA9"/>
    <w:rsid w:val="3CC77862"/>
    <w:rsid w:val="3DFED028"/>
    <w:rsid w:val="3F79605C"/>
    <w:rsid w:val="43C875B2"/>
    <w:rsid w:val="46C03FD3"/>
    <w:rsid w:val="4F911547"/>
    <w:rsid w:val="78B3145B"/>
    <w:rsid w:val="7F8FF698"/>
    <w:rsid w:val="7FBB402A"/>
    <w:rsid w:val="BFFA1138"/>
    <w:rsid w:val="E6FB7963"/>
    <w:rsid w:val="F7B73E5E"/>
    <w:rsid w:val="FBEF1BDE"/>
    <w:rsid w:val="FF7A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ind w:firstLine="420"/>
    </w:pPr>
    <w:rPr>
      <w:rFonts w:ascii="宋体"/>
      <w:sz w:val="24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customStyle="1" w:styleId="13">
    <w:name w:val="批注框文本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6A870-ECF0-4FAA-8A50-D41568062F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785</Characters>
  <Lines>6</Lines>
  <Paragraphs>1</Paragraphs>
  <TotalTime>15</TotalTime>
  <ScaleCrop>false</ScaleCrop>
  <LinksUpToDate>false</LinksUpToDate>
  <CharactersWithSpaces>921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2023-06-05T16:38:00Z</dcterms:created>
  <dc:creator>孟 宁</dc:creator>
  <cp:lastModifiedBy>风清扬</cp:lastModifiedBy>
  <dcterms:modified xsi:type="dcterms:W3CDTF">2023-08-17T03:04:23Z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F82F62795E3C41678C2F4A30CFCE9EAF_13</vt:lpwstr>
  </property>
</Properties>
</file>