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025" w:rsidRDefault="0019271A">
      <w:pPr>
        <w:spacing w:afterLines="50" w:after="156" w:line="560" w:lineRule="exact"/>
        <w:jc w:val="center"/>
        <w:rPr>
          <w:rFonts w:ascii="方正小标宋简体" w:eastAsia="方正小标宋简体"/>
          <w:sz w:val="44"/>
          <w:szCs w:val="44"/>
        </w:rPr>
      </w:pPr>
      <w:r>
        <w:rPr>
          <w:rFonts w:ascii="方正小标宋简体" w:eastAsia="方正小标宋简体" w:hint="eastAsia"/>
          <w:sz w:val="44"/>
          <w:szCs w:val="44"/>
        </w:rPr>
        <w:t>北京市广播电视局</w:t>
      </w:r>
    </w:p>
    <w:p w:rsidR="00712025" w:rsidRDefault="0019271A">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部门整体绩效评价报告</w:t>
      </w:r>
    </w:p>
    <w:p w:rsidR="00712025" w:rsidRDefault="00712025">
      <w:pPr>
        <w:spacing w:line="560" w:lineRule="exact"/>
        <w:ind w:firstLineChars="200" w:firstLine="880"/>
        <w:jc w:val="center"/>
        <w:rPr>
          <w:rFonts w:ascii="方正小标宋简体" w:eastAsia="方正小标宋简体"/>
          <w:sz w:val="44"/>
          <w:szCs w:val="44"/>
        </w:rPr>
      </w:pPr>
    </w:p>
    <w:p w:rsidR="00712025" w:rsidRDefault="0019271A">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一、部门概况</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（一）机构设置及职责工作任务情况</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宋体" w:cs="宋体" w:hint="eastAsia"/>
          <w:kern w:val="0"/>
          <w:sz w:val="32"/>
          <w:szCs w:val="32"/>
        </w:rPr>
        <w:t>北京市广播电视局（以下简称“我局”）是市政府直属机构，为正局级单位，内设12个处室，另设机关党委、机关纪委和工会，纪检、监察机构按有关规定派驻，下属6个二级预算单位。</w:t>
      </w:r>
      <w:r>
        <w:rPr>
          <w:rFonts w:ascii="仿宋_GB2312" w:eastAsia="仿宋_GB2312" w:hAnsi="仿宋" w:hint="eastAsia"/>
          <w:sz w:val="32"/>
          <w:szCs w:val="32"/>
        </w:rPr>
        <w:t>主要职责是：</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w:t>
      </w:r>
      <w:r>
        <w:rPr>
          <w:rFonts w:ascii="仿宋_GB2312" w:eastAsia="仿宋_GB2312" w:hAnsi="仿宋" w:hint="eastAsia"/>
          <w:sz w:val="32"/>
          <w:szCs w:val="32"/>
        </w:rPr>
        <w:t>贯彻执行国家关于广播电视宣传工作的法律法规、规章和政策，把握正确的舆论和创作导向。负责起草本市关于广播电视和信息网络视听节目服务方面的地方性法规草案、政府规章草案，制定相关的政策措施、地方标准，并组织实施和监督管理。推进广播电视领域的体制机制改革。</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sz w:val="32"/>
          <w:szCs w:val="32"/>
        </w:rPr>
        <w:t>.</w:t>
      </w:r>
      <w:r>
        <w:rPr>
          <w:rFonts w:ascii="仿宋_GB2312" w:eastAsia="仿宋_GB2312" w:hAnsi="仿宋" w:hint="eastAsia"/>
          <w:sz w:val="32"/>
          <w:szCs w:val="32"/>
        </w:rPr>
        <w:t>负责制定本市广播电视领域事业发展规划，组织实施公共服务重大公益工程和公益活动，扶助农村广播电视建设和发展，指导、监管广播电视基础设施建设。</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sz w:val="32"/>
          <w:szCs w:val="32"/>
        </w:rPr>
        <w:t>.</w:t>
      </w:r>
      <w:r>
        <w:rPr>
          <w:rFonts w:ascii="仿宋_GB2312" w:eastAsia="仿宋_GB2312" w:hAnsi="仿宋" w:hint="eastAsia"/>
          <w:sz w:val="32"/>
          <w:szCs w:val="32"/>
        </w:rPr>
        <w:t>负责统筹规划本市广播电视产业发展，制定发展规划、产业政策并组织实施。依法负责广播电视统计工作。</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sz w:val="32"/>
          <w:szCs w:val="32"/>
        </w:rPr>
        <w:t>.</w:t>
      </w:r>
      <w:r>
        <w:rPr>
          <w:rFonts w:ascii="仿宋_GB2312" w:eastAsia="仿宋_GB2312" w:hAnsi="仿宋" w:hint="eastAsia"/>
          <w:sz w:val="32"/>
          <w:szCs w:val="32"/>
        </w:rPr>
        <w:t>负责监督管理本市广播电视机构和业务，实施依法设定的行政许可并承担相应责任，负责市场经营活动监督管理的相关工作，负责对境外卫星电视节目接收的监管。</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5</w:t>
      </w:r>
      <w:r>
        <w:rPr>
          <w:rFonts w:ascii="仿宋_GB2312" w:eastAsia="仿宋_GB2312" w:hAnsi="仿宋"/>
          <w:sz w:val="32"/>
          <w:szCs w:val="32"/>
        </w:rPr>
        <w:t>.</w:t>
      </w:r>
      <w:r>
        <w:rPr>
          <w:rFonts w:ascii="仿宋_GB2312" w:eastAsia="仿宋_GB2312" w:hAnsi="仿宋" w:hint="eastAsia"/>
          <w:sz w:val="32"/>
          <w:szCs w:val="32"/>
        </w:rPr>
        <w:t>指导电视剧行业发展和电视剧创作生产。负责对网络视听节目、广播电视节目进行监管，审查其内容和质量。指导监管广播电视广告播放。</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sz w:val="32"/>
          <w:szCs w:val="32"/>
        </w:rPr>
        <w:t>.</w:t>
      </w:r>
      <w:r>
        <w:rPr>
          <w:rFonts w:ascii="仿宋_GB2312" w:eastAsia="仿宋_GB2312" w:hAnsi="仿宋" w:hint="eastAsia"/>
          <w:sz w:val="32"/>
          <w:szCs w:val="32"/>
        </w:rPr>
        <w:t>负责推进本市广播电视与新媒体新技术新业态融合发展，推进广电网与电信网、互联网三网融合。</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sz w:val="32"/>
          <w:szCs w:val="32"/>
        </w:rPr>
        <w:t>.</w:t>
      </w:r>
      <w:r>
        <w:rPr>
          <w:rFonts w:ascii="仿宋_GB2312" w:eastAsia="仿宋_GB2312" w:hAnsi="仿宋" w:hint="eastAsia"/>
          <w:sz w:val="32"/>
          <w:szCs w:val="32"/>
        </w:rPr>
        <w:t>组织拟订本市广播电视科技发展规划、政策和行业技术标准，并组织实施和监督检查。负责对广播电视节目传输覆盖、监测和安全播出进行监管，推进应急广播建设。</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sz w:val="32"/>
          <w:szCs w:val="32"/>
        </w:rPr>
        <w:t>.</w:t>
      </w:r>
      <w:r>
        <w:rPr>
          <w:rFonts w:ascii="仿宋_GB2312" w:eastAsia="仿宋_GB2312" w:hAnsi="仿宋" w:hint="eastAsia"/>
          <w:sz w:val="32"/>
          <w:szCs w:val="32"/>
        </w:rPr>
        <w:t>负责本市广播电视节目的进口、收录管理。负责广播电视领域对外及对港澳台的交流与合作，组织推动广播电视领域“走出去”工作。</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9</w:t>
      </w:r>
      <w:r>
        <w:rPr>
          <w:rFonts w:ascii="仿宋_GB2312" w:eastAsia="仿宋_GB2312" w:hAnsi="仿宋"/>
          <w:sz w:val="32"/>
          <w:szCs w:val="32"/>
        </w:rPr>
        <w:t>.</w:t>
      </w:r>
      <w:r>
        <w:rPr>
          <w:rFonts w:ascii="仿宋_GB2312" w:eastAsia="仿宋_GB2312" w:hAnsi="仿宋" w:hint="eastAsia"/>
          <w:sz w:val="32"/>
          <w:szCs w:val="32"/>
        </w:rPr>
        <w:t>依法对本市广播电视行业的安全工作承担管理责任，对以市广电局名义组织的各类活动的安全工作承担主体责任。</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0.</w:t>
      </w:r>
      <w:r>
        <w:rPr>
          <w:rFonts w:ascii="仿宋_GB2312" w:eastAsia="仿宋_GB2312" w:hAnsi="仿宋" w:hint="eastAsia"/>
          <w:sz w:val="32"/>
          <w:szCs w:val="32"/>
        </w:rPr>
        <w:t>指导本市广播电视、网络视听行业人才队伍建设。</w:t>
      </w:r>
    </w:p>
    <w:p w:rsidR="00712025" w:rsidRDefault="0019271A">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sz w:val="32"/>
          <w:szCs w:val="32"/>
        </w:rPr>
        <w:t>1.</w:t>
      </w:r>
      <w:r>
        <w:rPr>
          <w:rFonts w:ascii="仿宋_GB2312" w:eastAsia="仿宋_GB2312" w:hAnsi="仿宋" w:hint="eastAsia"/>
          <w:sz w:val="32"/>
          <w:szCs w:val="32"/>
        </w:rPr>
        <w:t>完成市委、市政府交办的其他任务。</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（二）部门整体绩效目标设立情况</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kern w:val="0"/>
          <w:sz w:val="32"/>
          <w:szCs w:val="32"/>
        </w:rPr>
        <w:t>022</w:t>
      </w:r>
      <w:r>
        <w:rPr>
          <w:rFonts w:ascii="仿宋_GB2312" w:eastAsia="仿宋_GB2312" w:hAnsi="宋体" w:cs="宋体" w:hint="eastAsia"/>
          <w:kern w:val="0"/>
          <w:sz w:val="32"/>
          <w:szCs w:val="32"/>
        </w:rPr>
        <w:t>年，我局项目共设定</w:t>
      </w:r>
      <w:r>
        <w:rPr>
          <w:rFonts w:ascii="仿宋_GB2312" w:eastAsia="仿宋_GB2312" w:hAnsi="宋体" w:cs="宋体"/>
          <w:kern w:val="0"/>
          <w:sz w:val="32"/>
          <w:szCs w:val="32"/>
        </w:rPr>
        <w:t>1000</w:t>
      </w:r>
      <w:r>
        <w:rPr>
          <w:rFonts w:ascii="仿宋_GB2312" w:eastAsia="仿宋_GB2312" w:hAnsi="宋体" w:cs="宋体" w:hint="eastAsia"/>
          <w:kern w:val="0"/>
          <w:sz w:val="32"/>
          <w:szCs w:val="32"/>
        </w:rPr>
        <w:t>余条绩效指标，与2</w:t>
      </w:r>
      <w:r>
        <w:rPr>
          <w:rFonts w:ascii="仿宋_GB2312" w:eastAsia="仿宋_GB2312" w:hAnsi="宋体" w:cs="宋体"/>
          <w:kern w:val="0"/>
          <w:sz w:val="32"/>
          <w:szCs w:val="32"/>
        </w:rPr>
        <w:t>021</w:t>
      </w:r>
      <w:r>
        <w:rPr>
          <w:rFonts w:ascii="仿宋_GB2312" w:eastAsia="仿宋_GB2312" w:hAnsi="宋体" w:cs="宋体" w:hint="eastAsia"/>
          <w:kern w:val="0"/>
          <w:sz w:val="32"/>
          <w:szCs w:val="32"/>
        </w:rPr>
        <w:t>年相比，可量化、可评价指标数量均实现增长，增幅均接近1</w:t>
      </w:r>
      <w:r>
        <w:rPr>
          <w:rFonts w:ascii="仿宋_GB2312" w:eastAsia="仿宋_GB2312" w:hAnsi="宋体" w:cs="宋体"/>
          <w:kern w:val="0"/>
          <w:sz w:val="32"/>
          <w:szCs w:val="32"/>
        </w:rPr>
        <w:t>0%</w:t>
      </w:r>
      <w:r>
        <w:rPr>
          <w:rFonts w:ascii="仿宋_GB2312" w:eastAsia="仿宋_GB2312" w:hAnsi="宋体" w:cs="宋体" w:hint="eastAsia"/>
          <w:kern w:val="0"/>
          <w:sz w:val="32"/>
          <w:szCs w:val="32"/>
        </w:rPr>
        <w:t>。</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kern w:val="0"/>
          <w:sz w:val="32"/>
          <w:szCs w:val="32"/>
        </w:rPr>
        <w:t>.</w:t>
      </w:r>
      <w:r>
        <w:rPr>
          <w:rFonts w:ascii="仿宋_GB2312" w:eastAsia="仿宋_GB2312" w:hAnsi="宋体" w:cs="宋体" w:hint="eastAsia"/>
          <w:kern w:val="0"/>
          <w:sz w:val="32"/>
          <w:szCs w:val="32"/>
        </w:rPr>
        <w:t>目标设定依据充分。绩效目标设定依据党中央、国务院和北京市委市政府的决策部署，符合广电行业法律法规、北京市“十四五”加强全国文化中心建设规划及广播电视和网络视听发展规划。</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lastRenderedPageBreak/>
        <w:t>2.</w:t>
      </w:r>
      <w:r>
        <w:rPr>
          <w:rFonts w:ascii="仿宋_GB2312" w:eastAsia="仿宋_GB2312" w:hAnsi="宋体" w:cs="宋体" w:hint="eastAsia"/>
          <w:kern w:val="0"/>
          <w:sz w:val="32"/>
          <w:szCs w:val="32"/>
        </w:rPr>
        <w:t>目标设定与职责任务匹配。绩效目标根据“三定”方案规定的部门职责设定，从我局承担的责任和当年工作任务出发，确定各项工作目标，保障部门职责全面履行。</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3.</w:t>
      </w:r>
      <w:r>
        <w:rPr>
          <w:rFonts w:ascii="仿宋_GB2312" w:eastAsia="仿宋_GB2312" w:hAnsi="宋体" w:cs="宋体" w:hint="eastAsia"/>
          <w:kern w:val="0"/>
          <w:sz w:val="32"/>
          <w:szCs w:val="32"/>
        </w:rPr>
        <w:t>目标设定合理可行。绩效目标设定依据客观实际，经过调查研究和科学论证，按照市财政局年度预算管理要求完成事前绩效评估等工作，与预算额度相匹配，指标细化、量化、可考核、可评价。</w:t>
      </w:r>
    </w:p>
    <w:p w:rsidR="00712025" w:rsidRDefault="0019271A">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二</w:t>
      </w:r>
      <w:r>
        <w:rPr>
          <w:rFonts w:ascii="黑体" w:eastAsia="黑体" w:hAnsi="黑体" w:cs="宋体"/>
          <w:kern w:val="0"/>
          <w:sz w:val="32"/>
          <w:szCs w:val="32"/>
        </w:rPr>
        <w:t>、</w:t>
      </w:r>
      <w:r>
        <w:rPr>
          <w:rFonts w:ascii="黑体" w:eastAsia="黑体" w:hAnsi="黑体" w:cs="宋体" w:hint="eastAsia"/>
          <w:kern w:val="0"/>
          <w:sz w:val="32"/>
          <w:szCs w:val="32"/>
        </w:rPr>
        <w:t>当年</w:t>
      </w:r>
      <w:r>
        <w:rPr>
          <w:rFonts w:ascii="黑体" w:eastAsia="黑体" w:hAnsi="黑体" w:cs="宋体"/>
          <w:kern w:val="0"/>
          <w:sz w:val="32"/>
          <w:szCs w:val="32"/>
        </w:rPr>
        <w:t>预算执行情况</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w:t>
      </w:r>
      <w:r>
        <w:rPr>
          <w:rFonts w:ascii="仿宋_GB2312" w:eastAsia="仿宋_GB2312" w:hAnsi="宋体" w:cs="宋体"/>
          <w:kern w:val="0"/>
          <w:sz w:val="32"/>
          <w:szCs w:val="32"/>
        </w:rPr>
        <w:t>2</w:t>
      </w:r>
      <w:r>
        <w:rPr>
          <w:rFonts w:ascii="仿宋_GB2312" w:eastAsia="仿宋_GB2312" w:hAnsi="宋体" w:cs="宋体" w:hint="eastAsia"/>
          <w:kern w:val="0"/>
          <w:sz w:val="32"/>
          <w:szCs w:val="32"/>
        </w:rPr>
        <w:t>年</w:t>
      </w:r>
      <w:r>
        <w:rPr>
          <w:rFonts w:ascii="仿宋_GB2312" w:eastAsia="仿宋_GB2312" w:hAnsi="宋体" w:cs="宋体"/>
          <w:kern w:val="0"/>
          <w:sz w:val="32"/>
          <w:szCs w:val="32"/>
        </w:rPr>
        <w:t>全年</w:t>
      </w:r>
      <w:r>
        <w:rPr>
          <w:rFonts w:ascii="仿宋_GB2312" w:eastAsia="仿宋_GB2312" w:hAnsi="宋体" w:cs="宋体" w:hint="eastAsia"/>
          <w:kern w:val="0"/>
          <w:sz w:val="32"/>
          <w:szCs w:val="32"/>
        </w:rPr>
        <w:t>预算数</w:t>
      </w:r>
      <w:r>
        <w:rPr>
          <w:rFonts w:ascii="仿宋_GB2312" w:eastAsia="仿宋_GB2312" w:hAnsi="宋体" w:cs="宋体"/>
          <w:kern w:val="0"/>
          <w:sz w:val="32"/>
          <w:szCs w:val="32"/>
        </w:rPr>
        <w:t>53,159.77</w:t>
      </w:r>
      <w:r>
        <w:rPr>
          <w:rFonts w:ascii="仿宋_GB2312" w:eastAsia="仿宋_GB2312" w:hAnsi="宋体" w:cs="宋体" w:hint="eastAsia"/>
          <w:kern w:val="0"/>
          <w:sz w:val="32"/>
          <w:szCs w:val="32"/>
        </w:rPr>
        <w:t>万元</w:t>
      </w:r>
      <w:r>
        <w:rPr>
          <w:rFonts w:ascii="仿宋_GB2312" w:eastAsia="仿宋_GB2312" w:hAnsi="宋体" w:cs="宋体"/>
          <w:kern w:val="0"/>
          <w:sz w:val="32"/>
          <w:szCs w:val="32"/>
        </w:rPr>
        <w:t>，</w:t>
      </w:r>
      <w:r>
        <w:rPr>
          <w:rFonts w:ascii="仿宋_GB2312" w:eastAsia="仿宋_GB2312" w:hAnsi="宋体" w:cs="宋体" w:hint="eastAsia"/>
          <w:kern w:val="0"/>
          <w:sz w:val="32"/>
          <w:szCs w:val="32"/>
        </w:rPr>
        <w:t>其中</w:t>
      </w:r>
      <w:r>
        <w:rPr>
          <w:rFonts w:ascii="仿宋_GB2312" w:eastAsia="仿宋_GB2312" w:hAnsi="宋体" w:cs="宋体"/>
          <w:kern w:val="0"/>
          <w:sz w:val="32"/>
          <w:szCs w:val="32"/>
        </w:rPr>
        <w:t>，基本</w:t>
      </w:r>
      <w:r>
        <w:rPr>
          <w:rFonts w:ascii="仿宋_GB2312" w:eastAsia="仿宋_GB2312" w:hAnsi="宋体" w:cs="宋体" w:hint="eastAsia"/>
          <w:kern w:val="0"/>
          <w:sz w:val="32"/>
          <w:szCs w:val="32"/>
        </w:rPr>
        <w:t>支出</w:t>
      </w:r>
      <w:r>
        <w:rPr>
          <w:rFonts w:ascii="仿宋_GB2312" w:eastAsia="仿宋_GB2312" w:hAnsi="宋体" w:cs="宋体"/>
          <w:kern w:val="0"/>
          <w:sz w:val="32"/>
          <w:szCs w:val="32"/>
        </w:rPr>
        <w:t>预算数11,059.33万元，</w:t>
      </w:r>
      <w:r>
        <w:rPr>
          <w:rFonts w:ascii="仿宋_GB2312" w:eastAsia="仿宋_GB2312" w:hAnsi="宋体" w:cs="宋体" w:hint="eastAsia"/>
          <w:kern w:val="0"/>
          <w:sz w:val="32"/>
          <w:szCs w:val="32"/>
        </w:rPr>
        <w:t>项目支出预算数</w:t>
      </w:r>
      <w:r>
        <w:rPr>
          <w:rFonts w:ascii="仿宋_GB2312" w:eastAsia="仿宋_GB2312" w:hAnsi="宋体" w:cs="宋体"/>
          <w:kern w:val="0"/>
          <w:sz w:val="32"/>
          <w:szCs w:val="32"/>
        </w:rPr>
        <w:t>42,100.44万元</w:t>
      </w:r>
      <w:r>
        <w:rPr>
          <w:rFonts w:ascii="仿宋_GB2312" w:eastAsia="仿宋_GB2312" w:hAnsi="宋体" w:cs="宋体" w:hint="eastAsia"/>
          <w:kern w:val="0"/>
          <w:sz w:val="32"/>
          <w:szCs w:val="32"/>
        </w:rPr>
        <w:t>。</w:t>
      </w:r>
      <w:r>
        <w:rPr>
          <w:rFonts w:ascii="仿宋_GB2312" w:eastAsia="仿宋_GB2312" w:hAnsi="宋体" w:cs="宋体"/>
          <w:kern w:val="0"/>
          <w:sz w:val="32"/>
          <w:szCs w:val="32"/>
        </w:rPr>
        <w:t>资金总体</w:t>
      </w:r>
      <w:r>
        <w:rPr>
          <w:rFonts w:ascii="仿宋_GB2312" w:eastAsia="仿宋_GB2312" w:hAnsi="宋体" w:cs="宋体" w:hint="eastAsia"/>
          <w:kern w:val="0"/>
          <w:sz w:val="32"/>
          <w:szCs w:val="32"/>
        </w:rPr>
        <w:t>支出</w:t>
      </w:r>
      <w:r>
        <w:rPr>
          <w:rFonts w:ascii="仿宋_GB2312" w:eastAsia="仿宋_GB2312" w:hAnsi="宋体" w:cs="宋体"/>
          <w:kern w:val="0"/>
          <w:sz w:val="32"/>
          <w:szCs w:val="32"/>
        </w:rPr>
        <w:t>49</w:t>
      </w:r>
      <w:r>
        <w:rPr>
          <w:rFonts w:ascii="仿宋_GB2312" w:eastAsia="仿宋_GB2312" w:hAnsi="宋体" w:cs="宋体" w:hint="eastAsia"/>
          <w:kern w:val="0"/>
          <w:sz w:val="32"/>
          <w:szCs w:val="32"/>
        </w:rPr>
        <w:t>,</w:t>
      </w:r>
      <w:r>
        <w:rPr>
          <w:rFonts w:ascii="仿宋_GB2312" w:eastAsia="仿宋_GB2312" w:hAnsi="宋体" w:cs="宋体"/>
          <w:kern w:val="0"/>
          <w:sz w:val="32"/>
          <w:szCs w:val="32"/>
        </w:rPr>
        <w:t>260.29万元，其中，基本支出10</w:t>
      </w:r>
      <w:r>
        <w:rPr>
          <w:rFonts w:ascii="仿宋_GB2312" w:eastAsia="仿宋_GB2312" w:hAnsi="宋体" w:cs="宋体" w:hint="eastAsia"/>
          <w:kern w:val="0"/>
          <w:sz w:val="32"/>
          <w:szCs w:val="32"/>
        </w:rPr>
        <w:t>,</w:t>
      </w:r>
      <w:r>
        <w:rPr>
          <w:rFonts w:ascii="仿宋_GB2312" w:eastAsia="仿宋_GB2312" w:hAnsi="宋体" w:cs="宋体"/>
          <w:kern w:val="0"/>
          <w:sz w:val="32"/>
          <w:szCs w:val="32"/>
        </w:rPr>
        <w:t>056.84万元，项目</w:t>
      </w:r>
      <w:r>
        <w:rPr>
          <w:rFonts w:ascii="仿宋_GB2312" w:eastAsia="仿宋_GB2312" w:hAnsi="宋体" w:cs="宋体" w:hint="eastAsia"/>
          <w:kern w:val="0"/>
          <w:sz w:val="32"/>
          <w:szCs w:val="32"/>
        </w:rPr>
        <w:t>支出</w:t>
      </w:r>
      <w:r>
        <w:rPr>
          <w:rFonts w:ascii="仿宋_GB2312" w:eastAsia="仿宋_GB2312" w:hAnsi="宋体" w:cs="宋体"/>
          <w:kern w:val="0"/>
          <w:sz w:val="32"/>
          <w:szCs w:val="32"/>
        </w:rPr>
        <w:t>39</w:t>
      </w:r>
      <w:r>
        <w:rPr>
          <w:rFonts w:ascii="仿宋_GB2312" w:eastAsia="仿宋_GB2312" w:hAnsi="宋体" w:cs="宋体" w:hint="eastAsia"/>
          <w:kern w:val="0"/>
          <w:sz w:val="32"/>
          <w:szCs w:val="32"/>
        </w:rPr>
        <w:t>,</w:t>
      </w:r>
      <w:r>
        <w:rPr>
          <w:rFonts w:ascii="仿宋_GB2312" w:eastAsia="仿宋_GB2312" w:hAnsi="宋体" w:cs="宋体"/>
          <w:kern w:val="0"/>
          <w:sz w:val="32"/>
          <w:szCs w:val="32"/>
        </w:rPr>
        <w:t>203.45万元。</w:t>
      </w:r>
      <w:r>
        <w:rPr>
          <w:rFonts w:ascii="仿宋_GB2312" w:eastAsia="仿宋_GB2312" w:hAnsi="宋体" w:cs="宋体" w:hint="eastAsia"/>
          <w:kern w:val="0"/>
          <w:sz w:val="32"/>
          <w:szCs w:val="32"/>
        </w:rPr>
        <w:t>预算</w:t>
      </w:r>
      <w:r>
        <w:rPr>
          <w:rFonts w:ascii="仿宋_GB2312" w:eastAsia="仿宋_GB2312" w:hAnsi="宋体" w:cs="宋体"/>
          <w:kern w:val="0"/>
          <w:sz w:val="32"/>
          <w:szCs w:val="32"/>
        </w:rPr>
        <w:t>执行率为92.66%</w:t>
      </w:r>
      <w:r>
        <w:rPr>
          <w:rFonts w:ascii="仿宋_GB2312" w:eastAsia="仿宋_GB2312" w:hAnsi="宋体" w:cs="宋体" w:hint="eastAsia"/>
          <w:kern w:val="0"/>
          <w:sz w:val="32"/>
          <w:szCs w:val="32"/>
        </w:rPr>
        <w:t>。</w:t>
      </w:r>
    </w:p>
    <w:p w:rsidR="00712025" w:rsidRDefault="0019271A">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三</w:t>
      </w:r>
      <w:r>
        <w:rPr>
          <w:rFonts w:ascii="黑体" w:eastAsia="黑体" w:hAnsi="黑体" w:cs="宋体"/>
          <w:kern w:val="0"/>
          <w:sz w:val="32"/>
          <w:szCs w:val="32"/>
        </w:rPr>
        <w:t>、整体绩效目标实现情况</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（一）产出完成情况分析</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2022年，我局紧紧围绕迎接、保障和学习宣传贯彻党的二十大这条主线，深入学习贯彻习近平新时代中国特色社会主义思想，认真学</w:t>
      </w:r>
      <w:proofErr w:type="gramStart"/>
      <w:r>
        <w:rPr>
          <w:rFonts w:ascii="仿宋_GB2312" w:eastAsia="仿宋_GB2312" w:hAnsi="宋体" w:cs="宋体" w:hint="eastAsia"/>
          <w:kern w:val="0"/>
          <w:sz w:val="32"/>
          <w:szCs w:val="32"/>
        </w:rPr>
        <w:t>习习近</w:t>
      </w:r>
      <w:proofErr w:type="gramEnd"/>
      <w:r>
        <w:rPr>
          <w:rFonts w:ascii="仿宋_GB2312" w:eastAsia="仿宋_GB2312" w:hAnsi="宋体" w:cs="宋体" w:hint="eastAsia"/>
          <w:kern w:val="0"/>
          <w:sz w:val="32"/>
          <w:szCs w:val="32"/>
        </w:rPr>
        <w:t>平总书记对北京和宣传思想工作的重要讲话、重要指示批示精神，贯彻落实市第十三次党代会要求，提高站位、聚焦主责、统筹调度、创新突破，各项任务圆满完成，重点工作成效显著。</w:t>
      </w:r>
    </w:p>
    <w:p w:rsidR="00712025" w:rsidRDefault="0019271A" w:rsidP="008B446C">
      <w:pPr>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b/>
          <w:bCs/>
          <w:kern w:val="0"/>
          <w:sz w:val="32"/>
          <w:szCs w:val="32"/>
        </w:rPr>
        <w:t>1.</w:t>
      </w:r>
      <w:r>
        <w:rPr>
          <w:rFonts w:ascii="仿宋_GB2312" w:eastAsia="仿宋_GB2312" w:hAnsi="宋体" w:cs="宋体" w:hint="eastAsia"/>
          <w:b/>
          <w:bCs/>
          <w:kern w:val="0"/>
          <w:sz w:val="32"/>
          <w:szCs w:val="32"/>
        </w:rPr>
        <w:t>围绕重大宣传节点，主题宣传有声有色。</w:t>
      </w:r>
      <w:r>
        <w:rPr>
          <w:rFonts w:ascii="仿宋_GB2312" w:eastAsia="仿宋_GB2312" w:hAnsi="宋体" w:cs="宋体" w:hint="eastAsia"/>
          <w:kern w:val="0"/>
          <w:sz w:val="32"/>
          <w:szCs w:val="32"/>
        </w:rPr>
        <w:t>一是持续做好习近平新时代中国特色社会主义思想宣传阐释，全面巩固壮大主流</w:t>
      </w:r>
      <w:r>
        <w:rPr>
          <w:rFonts w:ascii="仿宋_GB2312" w:eastAsia="仿宋_GB2312" w:hAnsi="宋体" w:cs="宋体" w:hint="eastAsia"/>
          <w:kern w:val="0"/>
          <w:sz w:val="32"/>
          <w:szCs w:val="32"/>
        </w:rPr>
        <w:lastRenderedPageBreak/>
        <w:t>思想舆论阵地。二是讲好冬奥会和</w:t>
      </w:r>
      <w:proofErr w:type="gramStart"/>
      <w:r>
        <w:rPr>
          <w:rFonts w:ascii="仿宋_GB2312" w:eastAsia="仿宋_GB2312" w:hAnsi="宋体" w:cs="宋体" w:hint="eastAsia"/>
          <w:kern w:val="0"/>
          <w:sz w:val="32"/>
          <w:szCs w:val="32"/>
        </w:rPr>
        <w:t>冬残</w:t>
      </w:r>
      <w:proofErr w:type="gramEnd"/>
      <w:r>
        <w:rPr>
          <w:rFonts w:ascii="仿宋_GB2312" w:eastAsia="仿宋_GB2312" w:hAnsi="宋体" w:cs="宋体" w:hint="eastAsia"/>
          <w:kern w:val="0"/>
          <w:sz w:val="32"/>
          <w:szCs w:val="32"/>
        </w:rPr>
        <w:t>奥会故事，传播好冬奥会和</w:t>
      </w:r>
      <w:proofErr w:type="gramStart"/>
      <w:r>
        <w:rPr>
          <w:rFonts w:ascii="仿宋_GB2312" w:eastAsia="仿宋_GB2312" w:hAnsi="宋体" w:cs="宋体" w:hint="eastAsia"/>
          <w:kern w:val="0"/>
          <w:sz w:val="32"/>
          <w:szCs w:val="32"/>
        </w:rPr>
        <w:t>冬残</w:t>
      </w:r>
      <w:proofErr w:type="gramEnd"/>
      <w:r>
        <w:rPr>
          <w:rFonts w:ascii="仿宋_GB2312" w:eastAsia="仿宋_GB2312" w:hAnsi="宋体" w:cs="宋体" w:hint="eastAsia"/>
          <w:kern w:val="0"/>
          <w:sz w:val="32"/>
          <w:szCs w:val="32"/>
        </w:rPr>
        <w:t>奥会形象，制造强有力的宣传声势，冬奥宣传取得良好反响，助力3亿人参与冰雪运动。三是党的二十大主题宣传持续掀起高潮，深入推进网络视听媒体“首页首屏首条”建设及短视频“首屏首推”工程，“弘扬社会主义核心价值观 共筑中国梦”主题展播浏览量超过3.13亿次。四是大宣传格局进一步优化，“新视听+”品牌不断创新、开花结果。</w:t>
      </w:r>
    </w:p>
    <w:p w:rsidR="00712025" w:rsidRDefault="0019271A" w:rsidP="008B446C">
      <w:pPr>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2</w:t>
      </w:r>
      <w:r>
        <w:rPr>
          <w:rFonts w:ascii="仿宋_GB2312" w:eastAsia="仿宋_GB2312" w:hAnsi="宋体" w:cs="宋体"/>
          <w:b/>
          <w:bCs/>
          <w:kern w:val="0"/>
          <w:sz w:val="32"/>
          <w:szCs w:val="32"/>
        </w:rPr>
        <w:t>.</w:t>
      </w:r>
      <w:r>
        <w:rPr>
          <w:rFonts w:ascii="仿宋_GB2312" w:eastAsia="仿宋_GB2312" w:hAnsi="宋体" w:cs="宋体" w:hint="eastAsia"/>
          <w:b/>
          <w:bCs/>
          <w:kern w:val="0"/>
          <w:sz w:val="32"/>
          <w:szCs w:val="32"/>
        </w:rPr>
        <w:t>强化精品产出，提升优质内容创作生产能力。</w:t>
      </w:r>
      <w:r>
        <w:rPr>
          <w:rFonts w:ascii="仿宋_GB2312" w:eastAsia="仿宋_GB2312" w:hAnsi="宋体" w:cs="宋体" w:hint="eastAsia"/>
          <w:kern w:val="0"/>
          <w:sz w:val="32"/>
          <w:szCs w:val="32"/>
        </w:rPr>
        <w:t>一是中国·北京电视剧盛典融合飞天、星光“双奖”升级亮相，“双奖”颁奖典礼和电视剧盛典是党的二十大胜利闭幕后影视行业举办的具有全国影响力的第一场文化盛事，充分彰</w:t>
      </w:r>
      <w:proofErr w:type="gramStart"/>
      <w:r>
        <w:rPr>
          <w:rFonts w:ascii="仿宋_GB2312" w:eastAsia="仿宋_GB2312" w:hAnsi="宋体" w:cs="宋体" w:hint="eastAsia"/>
          <w:kern w:val="0"/>
          <w:sz w:val="32"/>
          <w:szCs w:val="32"/>
        </w:rPr>
        <w:t>显行业</w:t>
      </w:r>
      <w:proofErr w:type="gramEnd"/>
      <w:r>
        <w:rPr>
          <w:rFonts w:ascii="仿宋_GB2312" w:eastAsia="仿宋_GB2312" w:hAnsi="宋体" w:cs="宋体" w:hint="eastAsia"/>
          <w:kern w:val="0"/>
          <w:sz w:val="32"/>
          <w:szCs w:val="32"/>
        </w:rPr>
        <w:t>“风向标”“晴雨表”作用，带动了精品创作、宣推及交易全链条提升，对推动电视剧行业高质量发展、推动全国文化中心建设具有重大意义；成功创办首届北京动画周，打造动画行业的首发首映平台，促进形成动画良好生态。二是推出一大批不负人民、不负时代的精品力作，取得“四个第一”的成绩：电视剧制作机构数量第一，出品数量第一，在各大卫视各视频平台播出总量第一，在“五个</w:t>
      </w:r>
      <w:proofErr w:type="gramStart"/>
      <w:r>
        <w:rPr>
          <w:rFonts w:ascii="仿宋_GB2312" w:eastAsia="仿宋_GB2312" w:hAnsi="宋体" w:cs="宋体" w:hint="eastAsia"/>
          <w:kern w:val="0"/>
          <w:sz w:val="32"/>
          <w:szCs w:val="32"/>
        </w:rPr>
        <w:t>一</w:t>
      </w:r>
      <w:proofErr w:type="gramEnd"/>
      <w:r>
        <w:rPr>
          <w:rFonts w:ascii="仿宋_GB2312" w:eastAsia="仿宋_GB2312" w:hAnsi="宋体" w:cs="宋体" w:hint="eastAsia"/>
          <w:kern w:val="0"/>
          <w:sz w:val="32"/>
          <w:szCs w:val="32"/>
        </w:rPr>
        <w:t>工程奖”“飞天奖”“金鹰奖”等国家级重大奖项中获奖总量第一。开展“青春中国梦”喜迎党的二十大网络视听精品创作项目征集评选活动，推选</w:t>
      </w:r>
      <w:proofErr w:type="gramStart"/>
      <w:r>
        <w:rPr>
          <w:rFonts w:ascii="仿宋_GB2312" w:eastAsia="仿宋_GB2312" w:hAnsi="宋体" w:cs="宋体" w:hint="eastAsia"/>
          <w:kern w:val="0"/>
          <w:sz w:val="32"/>
          <w:szCs w:val="32"/>
        </w:rPr>
        <w:t>出网络剧</w:t>
      </w:r>
      <w:proofErr w:type="gramEnd"/>
      <w:r>
        <w:rPr>
          <w:rFonts w:ascii="仿宋_GB2312" w:eastAsia="仿宋_GB2312" w:hAnsi="宋体" w:cs="宋体" w:hint="eastAsia"/>
          <w:kern w:val="0"/>
          <w:sz w:val="32"/>
          <w:szCs w:val="32"/>
        </w:rPr>
        <w:t>《青春正好》、网络电影《黑鹰少年》、网络微短剧《反诈风暴》、网络纪录片《幸福中国》、网络综艺节目《登场了！北京中轴线》等20部优秀作品。北京市</w:t>
      </w:r>
      <w:r>
        <w:rPr>
          <w:rFonts w:ascii="仿宋_GB2312" w:eastAsia="仿宋_GB2312" w:hAnsi="宋体" w:cs="宋体" w:hint="eastAsia"/>
          <w:kern w:val="0"/>
          <w:sz w:val="32"/>
          <w:szCs w:val="32"/>
        </w:rPr>
        <w:lastRenderedPageBreak/>
        <w:t>共有78部作品入选国家广电总局2022年度各类推优评奖活动。三是以扶持奖励方式精准赋能，北京广播电视网络视听发展基金对广播电视网络视听内容产品进行剧本、摄制宣推、播出奖励，推动行业创作向好题材、好作品聚焦。</w:t>
      </w:r>
    </w:p>
    <w:p w:rsidR="00712025" w:rsidRDefault="0019271A" w:rsidP="008B446C">
      <w:pPr>
        <w:spacing w:line="560" w:lineRule="exact"/>
        <w:ind w:firstLineChars="200" w:firstLine="643"/>
        <w:rPr>
          <w:rFonts w:ascii="仿宋_GB2312" w:eastAsia="仿宋_GB2312" w:hAnsi="宋体" w:cs="宋体"/>
          <w:b/>
          <w:bCs/>
          <w:kern w:val="0"/>
          <w:sz w:val="32"/>
          <w:szCs w:val="32"/>
        </w:rPr>
      </w:pPr>
      <w:r>
        <w:rPr>
          <w:rFonts w:ascii="仿宋_GB2312" w:eastAsia="仿宋_GB2312" w:hAnsi="宋体" w:cs="宋体"/>
          <w:b/>
          <w:bCs/>
          <w:kern w:val="0"/>
          <w:sz w:val="32"/>
          <w:szCs w:val="32"/>
        </w:rPr>
        <w:t>3.</w:t>
      </w:r>
      <w:r>
        <w:rPr>
          <w:rFonts w:ascii="仿宋_GB2312" w:eastAsia="仿宋_GB2312" w:hAnsi="宋体" w:cs="宋体" w:hint="eastAsia"/>
          <w:b/>
          <w:bCs/>
          <w:kern w:val="0"/>
          <w:sz w:val="32"/>
          <w:szCs w:val="32"/>
        </w:rPr>
        <w:t>做好重大活动服务保障，安全播出和广播电视监测任务圆满完成。</w:t>
      </w:r>
      <w:r>
        <w:rPr>
          <w:rFonts w:ascii="仿宋_GB2312" w:eastAsia="仿宋_GB2312" w:hAnsi="宋体" w:cs="宋体" w:hint="eastAsia"/>
          <w:kern w:val="0"/>
          <w:sz w:val="32"/>
          <w:szCs w:val="32"/>
        </w:rPr>
        <w:t>一是圆满完成北京冬奥会冬残奥会相关服务保障任务，冬奥广播电视信号传输万无一失；高效有序完成人员集散组织保障任务，实现万人运输、千车组织、秒级调度。</w:t>
      </w:r>
      <w:r>
        <w:rPr>
          <w:rFonts w:ascii="仿宋_GB2312" w:eastAsia="仿宋_GB2312" w:hAnsi="宋体" w:hint="eastAsia"/>
          <w:sz w:val="32"/>
          <w:szCs w:val="32"/>
        </w:rPr>
        <w:t>组织召开北京网络视听迎接党的二十大内容安全工作专题调度会</w:t>
      </w:r>
      <w:r>
        <w:rPr>
          <w:rFonts w:ascii="仿宋_GB2312" w:eastAsia="仿宋_GB2312" w:hAnsi="宋体" w:cs="宋体" w:hint="eastAsia"/>
          <w:kern w:val="0"/>
          <w:sz w:val="32"/>
          <w:szCs w:val="32"/>
        </w:rPr>
        <w:t>，压实重点平台主体责任，细化工作部署。二是制定迎接党的二十大安全播出专项保障方案，开展5轮专项检查，发现的问题隐患全部落实整改。三是建立重要保障期日报告、日调度机制,统筹疫情防控、安全播出、黑灰广播整治、住地服务保障，圆满完成党的二十</w:t>
      </w:r>
      <w:proofErr w:type="gramStart"/>
      <w:r>
        <w:rPr>
          <w:rFonts w:ascii="仿宋_GB2312" w:eastAsia="仿宋_GB2312" w:hAnsi="宋体" w:cs="宋体" w:hint="eastAsia"/>
          <w:kern w:val="0"/>
          <w:sz w:val="32"/>
          <w:szCs w:val="32"/>
        </w:rPr>
        <w:t>大相关</w:t>
      </w:r>
      <w:proofErr w:type="gramEnd"/>
      <w:r>
        <w:rPr>
          <w:rFonts w:ascii="仿宋_GB2312" w:eastAsia="仿宋_GB2312" w:hAnsi="宋体" w:cs="宋体" w:hint="eastAsia"/>
          <w:kern w:val="0"/>
          <w:sz w:val="32"/>
          <w:szCs w:val="32"/>
        </w:rPr>
        <w:t>服务保障任务。</w:t>
      </w:r>
    </w:p>
    <w:p w:rsidR="00712025" w:rsidRDefault="0019271A" w:rsidP="008B446C">
      <w:pPr>
        <w:spacing w:line="560" w:lineRule="exact"/>
        <w:ind w:firstLineChars="200" w:firstLine="643"/>
        <w:rPr>
          <w:rStyle w:val="NormalCharacter"/>
          <w:rFonts w:ascii="仿宋_GB2312" w:eastAsia="仿宋_GB2312" w:hAnsi="仿宋_GB2312" w:cs="仿宋_GB2312"/>
          <w:sz w:val="32"/>
          <w:szCs w:val="32"/>
        </w:rPr>
      </w:pPr>
      <w:r>
        <w:rPr>
          <w:rFonts w:ascii="仿宋_GB2312" w:eastAsia="仿宋_GB2312" w:hAnsi="宋体" w:cs="宋体"/>
          <w:b/>
          <w:bCs/>
          <w:kern w:val="0"/>
          <w:sz w:val="32"/>
          <w:szCs w:val="32"/>
        </w:rPr>
        <w:t>4.</w:t>
      </w:r>
      <w:r>
        <w:rPr>
          <w:rFonts w:ascii="仿宋_GB2312" w:eastAsia="仿宋_GB2312" w:hAnsi="宋体" w:cs="宋体" w:hint="eastAsia"/>
          <w:b/>
          <w:bCs/>
          <w:kern w:val="0"/>
          <w:sz w:val="32"/>
          <w:szCs w:val="32"/>
        </w:rPr>
        <w:t>公共服务从“硬覆盖”向“软覆盖”延伸，提升公共服务贴近性。</w:t>
      </w:r>
      <w:r>
        <w:rPr>
          <w:rFonts w:ascii="仿宋_GB2312" w:eastAsia="仿宋_GB2312" w:hAnsi="宋体" w:cs="宋体" w:hint="eastAsia"/>
          <w:kern w:val="0"/>
          <w:sz w:val="32"/>
          <w:szCs w:val="32"/>
        </w:rPr>
        <w:t>一是加强转播站、行政村发射站、中央广播电视塔地面数字电视发射机等基础设施维护工作，保障了五个转播站长</w:t>
      </w:r>
      <w:proofErr w:type="gramStart"/>
      <w:r>
        <w:rPr>
          <w:rFonts w:ascii="仿宋_GB2312" w:eastAsia="仿宋_GB2312" w:hAnsi="宋体" w:cs="宋体" w:hint="eastAsia"/>
          <w:kern w:val="0"/>
          <w:sz w:val="32"/>
          <w:szCs w:val="32"/>
        </w:rPr>
        <w:t>期安全</w:t>
      </w:r>
      <w:proofErr w:type="gramEnd"/>
      <w:r>
        <w:rPr>
          <w:rFonts w:ascii="仿宋_GB2312" w:eastAsia="仿宋_GB2312" w:hAnsi="宋体" w:cs="宋体" w:hint="eastAsia"/>
          <w:kern w:val="0"/>
          <w:sz w:val="32"/>
          <w:szCs w:val="32"/>
        </w:rPr>
        <w:t>正常运行，保证中国之声调频广播、中央12套电视节目、北京市及各区广播电视节目、京津冀之声调频广播节目服务于广大百姓。</w:t>
      </w:r>
      <w:r>
        <w:rPr>
          <w:rStyle w:val="NormalCharacter"/>
          <w:rFonts w:ascii="仿宋_GB2312" w:eastAsia="仿宋_GB2312" w:hAnsi="仿宋_GB2312" w:cs="仿宋_GB2312" w:hint="eastAsia"/>
          <w:bCs/>
          <w:sz w:val="32"/>
          <w:szCs w:val="32"/>
        </w:rPr>
        <w:t>二是</w:t>
      </w:r>
      <w:r>
        <w:rPr>
          <w:rStyle w:val="NormalCharacter"/>
          <w:rFonts w:ascii="仿宋_GB2312" w:eastAsia="仿宋_GB2312" w:hAnsi="仿宋_GB2312" w:cs="仿宋_GB2312" w:hint="eastAsia"/>
          <w:sz w:val="32"/>
          <w:szCs w:val="32"/>
        </w:rPr>
        <w:t>持续扩大公共服务广度、深度，重大惠民公共服务项目长效运行，北京视听零距离开展线上线下活动142场，服务全市16</w:t>
      </w:r>
      <w:proofErr w:type="gramStart"/>
      <w:r>
        <w:rPr>
          <w:rStyle w:val="NormalCharacter"/>
          <w:rFonts w:ascii="仿宋_GB2312" w:eastAsia="仿宋_GB2312" w:hAnsi="仿宋_GB2312" w:cs="仿宋_GB2312" w:hint="eastAsia"/>
          <w:sz w:val="32"/>
          <w:szCs w:val="32"/>
        </w:rPr>
        <w:t>区超170余万人次</w:t>
      </w:r>
      <w:proofErr w:type="gramEnd"/>
      <w:r>
        <w:rPr>
          <w:rStyle w:val="NormalCharacter"/>
          <w:rFonts w:ascii="仿宋_GB2312" w:eastAsia="仿宋_GB2312" w:hAnsi="仿宋_GB2312" w:cs="仿宋_GB2312" w:hint="eastAsia"/>
          <w:sz w:val="32"/>
          <w:szCs w:val="32"/>
        </w:rPr>
        <w:t>，启动新视听公共服务志愿行动，联合</w:t>
      </w:r>
      <w:r>
        <w:rPr>
          <w:rStyle w:val="NormalCharacter"/>
          <w:rFonts w:ascii="仿宋_GB2312" w:eastAsia="仿宋_GB2312" w:hAnsi="仿宋_GB2312" w:cs="仿宋_GB2312" w:hint="eastAsia"/>
          <w:sz w:val="32"/>
          <w:szCs w:val="32"/>
        </w:rPr>
        <w:lastRenderedPageBreak/>
        <w:t>抖音、快手等平台开展“我们的幸福生活”优秀短视频评选展播，新增丰台</w:t>
      </w:r>
      <w:proofErr w:type="gramStart"/>
      <w:r>
        <w:rPr>
          <w:rStyle w:val="NormalCharacter"/>
          <w:rFonts w:ascii="仿宋_GB2312" w:eastAsia="仿宋_GB2312" w:hAnsi="仿宋_GB2312" w:cs="仿宋_GB2312" w:hint="eastAsia"/>
          <w:sz w:val="32"/>
          <w:szCs w:val="32"/>
        </w:rPr>
        <w:t>区融媒体</w:t>
      </w:r>
      <w:proofErr w:type="gramEnd"/>
      <w:r>
        <w:rPr>
          <w:rStyle w:val="NormalCharacter"/>
          <w:rFonts w:ascii="仿宋_GB2312" w:eastAsia="仿宋_GB2312" w:hAnsi="仿宋_GB2312" w:cs="仿宋_GB2312" w:hint="eastAsia"/>
          <w:sz w:val="32"/>
          <w:szCs w:val="32"/>
        </w:rPr>
        <w:t>中心、超高清实验室两家视听小站，打通公共文化服务最后一公里。</w:t>
      </w:r>
    </w:p>
    <w:p w:rsidR="00712025" w:rsidRDefault="0019271A" w:rsidP="008B446C">
      <w:pPr>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5</w:t>
      </w:r>
      <w:r>
        <w:rPr>
          <w:rFonts w:ascii="仿宋_GB2312" w:eastAsia="仿宋_GB2312" w:hAnsi="宋体" w:cs="宋体"/>
          <w:b/>
          <w:bCs/>
          <w:kern w:val="0"/>
          <w:sz w:val="32"/>
          <w:szCs w:val="32"/>
        </w:rPr>
        <w:t>.</w:t>
      </w:r>
      <w:r>
        <w:rPr>
          <w:rFonts w:ascii="仿宋_GB2312" w:eastAsia="仿宋_GB2312" w:hAnsi="宋体" w:cs="宋体" w:hint="eastAsia"/>
          <w:b/>
          <w:bCs/>
          <w:kern w:val="0"/>
          <w:sz w:val="32"/>
          <w:szCs w:val="32"/>
        </w:rPr>
        <w:t>优化配置行业科技资源，提升科技创新能力。</w:t>
      </w:r>
      <w:r>
        <w:rPr>
          <w:rFonts w:ascii="仿宋_GB2312" w:eastAsia="仿宋_GB2312" w:hAnsi="宋体" w:cs="宋体" w:hint="eastAsia"/>
          <w:kern w:val="0"/>
          <w:sz w:val="32"/>
          <w:szCs w:val="32"/>
        </w:rPr>
        <w:t>一是智慧广电奖励扶持30个优秀项目，发挥专项资金的示范引领作用；成果转化应用卓有成效，全球最大超高清地面显示系统等12个场景落地服务北京冬奥会冬残奥会，云转播及8K等多项关键技术列入科技冬奥技术库，6项被评为国际先进技术，13项在冬奥会、冬残奥会期间推广。</w:t>
      </w:r>
      <w:r>
        <w:rPr>
          <w:rFonts w:ascii="仿宋_GB2312" w:eastAsia="仿宋_GB2312" w:hAnsi="仿宋_GB2312" w:cs="仿宋_GB2312" w:hint="eastAsia"/>
          <w:kern w:val="0"/>
          <w:sz w:val="32"/>
          <w:szCs w:val="32"/>
        </w:rPr>
        <w:t>二</w:t>
      </w:r>
      <w:r>
        <w:rPr>
          <w:rFonts w:ascii="仿宋_GB2312" w:eastAsia="仿宋_GB2312" w:hAnsi="仿宋_GB2312" w:cs="仿宋_GB2312" w:hint="eastAsia"/>
          <w:sz w:val="32"/>
          <w:szCs w:val="32"/>
        </w:rPr>
        <w:t>是北京地区各级</w:t>
      </w:r>
      <w:r>
        <w:rPr>
          <w:rFonts w:ascii="仿宋_GB2312" w:eastAsia="仿宋_GB2312" w:hAnsi="仿宋_GB2312" w:cs="仿宋_GB2312" w:hint="eastAsia"/>
          <w:kern w:val="0"/>
          <w:sz w:val="32"/>
          <w:szCs w:val="32"/>
        </w:rPr>
        <w:t>实验室加速广电科研资源聚集，在国家广电总局超高</w:t>
      </w:r>
      <w:proofErr w:type="gramStart"/>
      <w:r>
        <w:rPr>
          <w:rFonts w:ascii="仿宋_GB2312" w:eastAsia="仿宋_GB2312" w:hAnsi="仿宋_GB2312" w:cs="仿宋_GB2312" w:hint="eastAsia"/>
          <w:kern w:val="0"/>
          <w:sz w:val="32"/>
          <w:szCs w:val="32"/>
        </w:rPr>
        <w:t>清典型</w:t>
      </w:r>
      <w:proofErr w:type="gramEnd"/>
      <w:r>
        <w:rPr>
          <w:rFonts w:ascii="仿宋_GB2312" w:eastAsia="仿宋_GB2312" w:hAnsi="仿宋_GB2312" w:cs="仿宋_GB2312" w:hint="eastAsia"/>
          <w:kern w:val="0"/>
          <w:sz w:val="32"/>
          <w:szCs w:val="32"/>
        </w:rPr>
        <w:t>应用案例、高</w:t>
      </w:r>
      <w:r>
        <w:rPr>
          <w:rFonts w:ascii="仿宋_GB2312" w:eastAsia="仿宋_GB2312" w:hAnsi="宋体" w:cs="宋体" w:hint="eastAsia"/>
          <w:kern w:val="0"/>
          <w:sz w:val="32"/>
          <w:szCs w:val="32"/>
        </w:rPr>
        <w:t>新视频创新应用大赛、人工智能创新应用大赛中，北京地区获奖总数均居省级第一。</w:t>
      </w:r>
    </w:p>
    <w:p w:rsidR="00712025" w:rsidRDefault="0019271A" w:rsidP="008B446C">
      <w:pPr>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b/>
          <w:bCs/>
          <w:kern w:val="0"/>
          <w:sz w:val="32"/>
          <w:szCs w:val="32"/>
        </w:rPr>
        <w:t>6.</w:t>
      </w:r>
      <w:r>
        <w:rPr>
          <w:rFonts w:ascii="仿宋_GB2312" w:eastAsia="仿宋_GB2312" w:hAnsi="宋体" w:cs="宋体" w:hint="eastAsia"/>
          <w:b/>
          <w:bCs/>
          <w:kern w:val="0"/>
          <w:sz w:val="32"/>
          <w:szCs w:val="32"/>
        </w:rPr>
        <w:t>深化媒体融合，促进区域协同向纵深发展。</w:t>
      </w:r>
      <w:r>
        <w:rPr>
          <w:rFonts w:ascii="仿宋_GB2312" w:eastAsia="仿宋_GB2312" w:hAnsi="宋体" w:cs="宋体" w:hint="eastAsia"/>
          <w:kern w:val="0"/>
          <w:sz w:val="32"/>
          <w:szCs w:val="32"/>
        </w:rPr>
        <w:t>一是强化协调联动，推动中国（京津冀）广播电视媒体融合发展创新中心有序运行，引领全国媒体融合发展。二</w:t>
      </w:r>
      <w:r>
        <w:rPr>
          <w:rFonts w:ascii="仿宋_GB2312" w:eastAsia="仿宋_GB2312" w:hAnsi="宋体" w:cs="宋体" w:hint="eastAsia"/>
          <w:bCs/>
          <w:kern w:val="0"/>
          <w:sz w:val="32"/>
          <w:szCs w:val="32"/>
        </w:rPr>
        <w:t>是</w:t>
      </w:r>
      <w:r>
        <w:rPr>
          <w:rFonts w:ascii="仿宋_GB2312" w:eastAsia="仿宋_GB2312" w:hAnsi="宋体" w:cs="宋体" w:hint="eastAsia"/>
          <w:kern w:val="0"/>
          <w:sz w:val="32"/>
          <w:szCs w:val="32"/>
        </w:rPr>
        <w:t>坚持技术赋能，评选新技术与新服务，成功举办第二届新视听媒体融合创新创意大赛，7项技术在20家市区媒体落地应用。三是“京津冀之声”获评2022年全国广播电视媒体融合典型案例，在天津、河北覆盖范围持续扩大。四是开展京津冀“携手迎冬奥 同心过大年”活动，三</w:t>
      </w:r>
      <w:proofErr w:type="gramStart"/>
      <w:r>
        <w:rPr>
          <w:rFonts w:ascii="仿宋_GB2312" w:eastAsia="仿宋_GB2312" w:hAnsi="宋体" w:cs="宋体" w:hint="eastAsia"/>
          <w:kern w:val="0"/>
          <w:sz w:val="32"/>
          <w:szCs w:val="32"/>
        </w:rPr>
        <w:t>地互捐</w:t>
      </w:r>
      <w:proofErr w:type="gramEnd"/>
      <w:r>
        <w:rPr>
          <w:rFonts w:ascii="仿宋_GB2312" w:eastAsia="仿宋_GB2312" w:hAnsi="宋体" w:cs="宋体" w:hint="eastAsia"/>
          <w:kern w:val="0"/>
          <w:sz w:val="32"/>
          <w:szCs w:val="32"/>
        </w:rPr>
        <w:t>电视剧、动画片、纪录片和电视节目4</w:t>
      </w:r>
      <w:r>
        <w:rPr>
          <w:rFonts w:ascii="仿宋_GB2312" w:eastAsia="仿宋_GB2312" w:hAnsi="宋体" w:cs="宋体"/>
          <w:kern w:val="0"/>
          <w:sz w:val="32"/>
          <w:szCs w:val="32"/>
        </w:rPr>
        <w:t>9</w:t>
      </w:r>
      <w:r>
        <w:rPr>
          <w:rFonts w:ascii="仿宋_GB2312" w:eastAsia="仿宋_GB2312" w:hAnsi="宋体" w:cs="宋体" w:hint="eastAsia"/>
          <w:kern w:val="0"/>
          <w:sz w:val="32"/>
          <w:szCs w:val="32"/>
        </w:rPr>
        <w:t>部，组织全市重点平台设置“免费看”专区，总浏览量4</w:t>
      </w:r>
      <w:r>
        <w:rPr>
          <w:rFonts w:ascii="仿宋_GB2312" w:eastAsia="仿宋_GB2312" w:hAnsi="宋体" w:cs="宋体"/>
          <w:kern w:val="0"/>
          <w:sz w:val="32"/>
          <w:szCs w:val="32"/>
        </w:rPr>
        <w:t>.76</w:t>
      </w:r>
      <w:r>
        <w:rPr>
          <w:rFonts w:ascii="仿宋_GB2312" w:eastAsia="仿宋_GB2312" w:hAnsi="宋体" w:cs="宋体" w:hint="eastAsia"/>
          <w:kern w:val="0"/>
          <w:sz w:val="32"/>
          <w:szCs w:val="32"/>
        </w:rPr>
        <w:t>亿次，有力丰富三地群众精神文化生活。</w:t>
      </w:r>
    </w:p>
    <w:p w:rsidR="00712025" w:rsidRDefault="0019271A" w:rsidP="008B446C">
      <w:pPr>
        <w:spacing w:line="560" w:lineRule="exact"/>
        <w:ind w:firstLineChars="200" w:firstLine="643"/>
        <w:rPr>
          <w:rFonts w:ascii="仿宋_GB2312" w:eastAsia="仿宋_GB2312" w:hAnsi="宋体" w:cs="宋体"/>
          <w:b/>
          <w:bCs/>
          <w:kern w:val="0"/>
          <w:sz w:val="32"/>
          <w:szCs w:val="32"/>
        </w:rPr>
      </w:pPr>
      <w:r>
        <w:rPr>
          <w:rFonts w:ascii="仿宋_GB2312" w:eastAsia="仿宋_GB2312" w:hAnsi="宋体" w:cs="宋体"/>
          <w:b/>
          <w:bCs/>
          <w:kern w:val="0"/>
          <w:sz w:val="32"/>
          <w:szCs w:val="32"/>
        </w:rPr>
        <w:lastRenderedPageBreak/>
        <w:t>7.</w:t>
      </w:r>
      <w:r>
        <w:rPr>
          <w:rFonts w:ascii="仿宋_GB2312" w:eastAsia="仿宋_GB2312" w:hAnsi="宋体" w:cs="宋体" w:hint="eastAsia"/>
          <w:b/>
          <w:bCs/>
          <w:kern w:val="0"/>
          <w:sz w:val="32"/>
          <w:szCs w:val="32"/>
        </w:rPr>
        <w:t>聚焦产业园区协同建设，带动行业强劲发展势头。</w:t>
      </w:r>
      <w:r>
        <w:rPr>
          <w:rFonts w:ascii="仿宋_GB2312" w:eastAsia="仿宋_GB2312" w:hAnsi="宋体" w:cs="宋体" w:hint="eastAsia"/>
          <w:kern w:val="0"/>
          <w:sz w:val="32"/>
          <w:szCs w:val="32"/>
        </w:rPr>
        <w:t>一是加强中国（北京）高新视听产业园、中国（怀柔）影视产业示范区、中国（北京）星光视听产业基地三大国家级园区和市级园区协同建设，推动京津冀视听走廊建设，产业高质量发展迈上新台阶。二是加快打造8K超高</w:t>
      </w:r>
      <w:proofErr w:type="gramStart"/>
      <w:r>
        <w:rPr>
          <w:rFonts w:ascii="仿宋_GB2312" w:eastAsia="仿宋_GB2312" w:hAnsi="宋体" w:cs="宋体" w:hint="eastAsia"/>
          <w:kern w:val="0"/>
          <w:sz w:val="32"/>
          <w:szCs w:val="32"/>
        </w:rPr>
        <w:t>清产业</w:t>
      </w:r>
      <w:proofErr w:type="gramEnd"/>
      <w:r>
        <w:rPr>
          <w:rFonts w:ascii="仿宋_GB2312" w:eastAsia="仿宋_GB2312" w:hAnsi="宋体" w:cs="宋体" w:hint="eastAsia"/>
          <w:kern w:val="0"/>
          <w:sz w:val="32"/>
          <w:szCs w:val="32"/>
        </w:rPr>
        <w:t>发展与应用高地，促进高质量高规格高标准视听内容普及，2022年共扶持25家单位112部8K作品，总时长达236小时，</w:t>
      </w:r>
      <w:r>
        <w:rPr>
          <w:rFonts w:eastAsia="仿宋" w:hint="eastAsia"/>
          <w:sz w:val="32"/>
          <w:szCs w:val="32"/>
        </w:rPr>
        <w:t>全市</w:t>
      </w:r>
      <w:r>
        <w:rPr>
          <w:rFonts w:ascii="仿宋_GB2312" w:eastAsia="仿宋_GB2312" w:hAnsi="仿宋_GB2312" w:cs="仿宋_GB2312" w:hint="eastAsia"/>
          <w:sz w:val="32"/>
          <w:szCs w:val="32"/>
        </w:rPr>
        <w:t>8K</w:t>
      </w:r>
      <w:r>
        <w:rPr>
          <w:rFonts w:eastAsia="仿宋" w:hint="eastAsia"/>
          <w:sz w:val="32"/>
          <w:szCs w:val="32"/>
        </w:rPr>
        <w:t>产能大幅提升</w:t>
      </w:r>
      <w:r>
        <w:rPr>
          <w:rFonts w:ascii="仿宋_GB2312" w:eastAsia="仿宋_GB2312" w:hAnsi="宋体" w:cs="宋体" w:hint="eastAsia"/>
          <w:kern w:val="0"/>
          <w:sz w:val="32"/>
          <w:szCs w:val="32"/>
        </w:rPr>
        <w:t>。三是成功举办2022年中国</w:t>
      </w:r>
      <w:proofErr w:type="gramStart"/>
      <w:r>
        <w:rPr>
          <w:rFonts w:ascii="仿宋_GB2312" w:eastAsia="仿宋_GB2312" w:hAnsi="宋体" w:cs="宋体" w:hint="eastAsia"/>
          <w:kern w:val="0"/>
          <w:sz w:val="32"/>
          <w:szCs w:val="32"/>
        </w:rPr>
        <w:t>服贸会</w:t>
      </w:r>
      <w:proofErr w:type="gramEnd"/>
      <w:r>
        <w:rPr>
          <w:rFonts w:ascii="仿宋_GB2312" w:eastAsia="仿宋_GB2312" w:hAnsi="宋体" w:cs="宋体" w:hint="eastAsia"/>
          <w:kern w:val="0"/>
          <w:sz w:val="32"/>
          <w:szCs w:val="32"/>
        </w:rPr>
        <w:t>北京新视听展，全景呈现新视听全产业</w:t>
      </w:r>
      <w:proofErr w:type="gramStart"/>
      <w:r>
        <w:rPr>
          <w:rFonts w:ascii="仿宋_GB2312" w:eastAsia="仿宋_GB2312" w:hAnsi="宋体" w:cs="宋体" w:hint="eastAsia"/>
          <w:kern w:val="0"/>
          <w:sz w:val="32"/>
          <w:szCs w:val="32"/>
        </w:rPr>
        <w:t>链发展</w:t>
      </w:r>
      <w:proofErr w:type="gramEnd"/>
      <w:r>
        <w:rPr>
          <w:rFonts w:ascii="仿宋_GB2312" w:eastAsia="仿宋_GB2312" w:hAnsi="宋体" w:cs="宋体" w:hint="eastAsia"/>
          <w:kern w:val="0"/>
          <w:sz w:val="32"/>
          <w:szCs w:val="32"/>
        </w:rPr>
        <w:t>成果。四是促进网络视听产业高质量发展</w:t>
      </w:r>
      <w:r w:rsidR="007A0F92">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跟踪掌握重点网络视听平台企业运行情况和发展诉求，制定实施爱奇艺、快手“一企一策”指导帮扶工作方案，在全国广电系统率先印发网络视听平台企业合规手册。</w:t>
      </w:r>
    </w:p>
    <w:p w:rsidR="00712025" w:rsidRDefault="0019271A" w:rsidP="008B446C">
      <w:pPr>
        <w:widowControl/>
        <w:spacing w:line="56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8</w:t>
      </w:r>
      <w:r>
        <w:rPr>
          <w:rFonts w:ascii="仿宋_GB2312" w:eastAsia="仿宋_GB2312" w:hAnsi="宋体" w:cs="宋体"/>
          <w:b/>
          <w:bCs/>
          <w:kern w:val="0"/>
          <w:sz w:val="32"/>
          <w:szCs w:val="32"/>
        </w:rPr>
        <w:t>.</w:t>
      </w:r>
      <w:r>
        <w:rPr>
          <w:rFonts w:ascii="仿宋_GB2312" w:eastAsia="仿宋_GB2312" w:hAnsi="宋体" w:cs="宋体" w:hint="eastAsia"/>
          <w:b/>
          <w:bCs/>
          <w:kern w:val="0"/>
          <w:sz w:val="32"/>
          <w:szCs w:val="32"/>
        </w:rPr>
        <w:t>积极推动对外交流互鉴，提高国际传播影响力。</w:t>
      </w:r>
      <w:r>
        <w:rPr>
          <w:rFonts w:ascii="仿宋_GB2312" w:eastAsia="仿宋_GB2312" w:hAnsi="宋体" w:cs="宋体" w:hint="eastAsia"/>
          <w:bCs/>
          <w:kern w:val="0"/>
          <w:sz w:val="32"/>
          <w:szCs w:val="32"/>
        </w:rPr>
        <w:t>一是</w:t>
      </w:r>
      <w:r>
        <w:rPr>
          <w:rFonts w:ascii="仿宋_GB2312" w:eastAsia="仿宋_GB2312" w:hAnsi="宋体" w:cs="宋体" w:hint="eastAsia"/>
          <w:kern w:val="0"/>
          <w:sz w:val="32"/>
          <w:szCs w:val="32"/>
        </w:rPr>
        <w:t>主动服务国家外交战略大局，以首善标准承办第五届中非媒体合作论坛，国家主席习近平首次向大会致贺信，来自中国和42个非洲国家的240余位代表以线上和线下形式出席，发布4方面12项成果，论坛规格实现历届最高，创新成果丰硕。二是出台全国首个省（市）级视听国际传播专项政策，创新开展北京优秀影视</w:t>
      </w:r>
      <w:proofErr w:type="gramStart"/>
      <w:r>
        <w:rPr>
          <w:rFonts w:ascii="仿宋_GB2312" w:eastAsia="仿宋_GB2312" w:hAnsi="宋体" w:cs="宋体" w:hint="eastAsia"/>
          <w:kern w:val="0"/>
          <w:sz w:val="32"/>
          <w:szCs w:val="32"/>
        </w:rPr>
        <w:t>剧海外</w:t>
      </w:r>
      <w:proofErr w:type="gramEnd"/>
      <w:r>
        <w:rPr>
          <w:rFonts w:ascii="仿宋_GB2312" w:eastAsia="仿宋_GB2312" w:hAnsi="宋体" w:cs="宋体" w:hint="eastAsia"/>
          <w:kern w:val="0"/>
          <w:sz w:val="32"/>
          <w:szCs w:val="32"/>
        </w:rPr>
        <w:t>展播季系列活动。三是进一步发挥北京市提升广播电视和网络视听业国际传播力奖励扶持专项资金效能，扶持33家企业122个项目，阿语版《觉醒年代》海外开播，覆盖22个阿拉伯国家近5亿人口。</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lastRenderedPageBreak/>
        <w:t>（二）效果</w:t>
      </w:r>
      <w:r>
        <w:rPr>
          <w:rFonts w:ascii="楷体" w:eastAsia="楷体" w:hAnsi="楷体"/>
          <w:sz w:val="32"/>
          <w:szCs w:val="32"/>
        </w:rPr>
        <w:t>实现情况分析</w:t>
      </w:r>
    </w:p>
    <w:p w:rsidR="00712025" w:rsidRDefault="0019271A">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kern w:val="0"/>
          <w:sz w:val="32"/>
          <w:szCs w:val="32"/>
        </w:rPr>
        <w:t>.</w:t>
      </w:r>
      <w:r>
        <w:rPr>
          <w:rFonts w:ascii="仿宋_GB2312" w:eastAsia="仿宋_GB2312" w:hAnsi="宋体" w:cs="宋体" w:hint="eastAsia"/>
          <w:kern w:val="0"/>
          <w:sz w:val="32"/>
          <w:szCs w:val="32"/>
        </w:rPr>
        <w:t>社会效益</w:t>
      </w:r>
    </w:p>
    <w:p w:rsidR="00712025" w:rsidRDefault="0019271A">
      <w:pPr>
        <w:spacing w:line="560" w:lineRule="exact"/>
        <w:ind w:firstLineChars="200" w:firstLine="640"/>
        <w:rPr>
          <w:rStyle w:val="NormalCharacter"/>
          <w:rFonts w:ascii="仿宋_GB2312" w:eastAsia="仿宋_GB2312" w:hAnsi="仿宋_GB2312" w:cs="仿宋_GB2312"/>
          <w:kern w:val="0"/>
          <w:sz w:val="32"/>
          <w:szCs w:val="32"/>
        </w:rPr>
      </w:pPr>
      <w:r>
        <w:rPr>
          <w:rFonts w:ascii="仿宋_GB2312" w:eastAsia="仿宋_GB2312" w:hAnsi="宋体" w:cs="宋体" w:hint="eastAsia"/>
          <w:kern w:val="0"/>
          <w:sz w:val="32"/>
          <w:szCs w:val="32"/>
        </w:rPr>
        <w:t>2</w:t>
      </w:r>
      <w:r>
        <w:rPr>
          <w:rFonts w:ascii="仿宋_GB2312" w:eastAsia="仿宋_GB2312" w:hAnsi="宋体" w:cs="宋体"/>
          <w:kern w:val="0"/>
          <w:sz w:val="32"/>
          <w:szCs w:val="32"/>
        </w:rPr>
        <w:t>022</w:t>
      </w:r>
      <w:r>
        <w:rPr>
          <w:rFonts w:ascii="仿宋_GB2312" w:eastAsia="仿宋_GB2312" w:hAnsi="宋体" w:cs="宋体" w:hint="eastAsia"/>
          <w:kern w:val="0"/>
          <w:sz w:val="32"/>
          <w:szCs w:val="32"/>
        </w:rPr>
        <w:t>年，我局主动作为，投入财政资金，以项目化、工程化、品牌化的总体思路持续打造新视听事业产业发展“北京模式”，一是强化正面宣传引导，聚焦主题主线舆论宣传，提高广播电视和网络视听舆论引导力；二是推动高品质内容创作生产，打造一批彰</w:t>
      </w:r>
      <w:proofErr w:type="gramStart"/>
      <w:r>
        <w:rPr>
          <w:rFonts w:ascii="仿宋_GB2312" w:eastAsia="仿宋_GB2312" w:hAnsi="宋体" w:cs="宋体" w:hint="eastAsia"/>
          <w:kern w:val="0"/>
          <w:sz w:val="32"/>
          <w:szCs w:val="32"/>
        </w:rPr>
        <w:t>显时代</w:t>
      </w:r>
      <w:proofErr w:type="gramEnd"/>
      <w:r>
        <w:rPr>
          <w:rFonts w:ascii="仿宋_GB2312" w:eastAsia="仿宋_GB2312" w:hAnsi="宋体" w:cs="宋体" w:hint="eastAsia"/>
          <w:kern w:val="0"/>
          <w:sz w:val="32"/>
          <w:szCs w:val="32"/>
        </w:rPr>
        <w:t>特色、中国精神、北京风格的扛鼎之作，精品创作保持全国领先水平；三是实现对内容、播出、传输、设施、网络全方位、全过程、全覆盖、全天候监管，圆满完成北京冬奥会冬残奥会、党的二十大等重大活动的相关服务保障任务，获得国家广电总局领导、市领导高度肯定；四是以更优的服务、更精准的对接满足人民文化需求，实现公共文化服务高质量供给，不断增强人民群众的幸福感、获得感；五是</w:t>
      </w:r>
      <w:r>
        <w:rPr>
          <w:rStyle w:val="NormalCharacter"/>
          <w:rFonts w:ascii="仿宋_GB2312" w:eastAsia="仿宋_GB2312" w:hAnsi="仿宋_GB2312" w:cs="仿宋_GB2312" w:hint="eastAsia"/>
          <w:sz w:val="32"/>
          <w:szCs w:val="32"/>
        </w:rPr>
        <w:t>发挥首都数字经济先发优势，加快推进广播电视智慧化升级，为北京广播电视和网络视听行业科技发展提供创新驱动力；六是加快推进媒体深度融合，深入推进全媒体传播建设，打造北京新视听媒体传播矩阵；七是聚焦视听产业，坚持创新引领，产业高质量发展加快升级；八是持续广泛开展国际传播与合作，不断提升国际传播力影响力。各项绩效目标的全面实现，推动了首都广播电视和网络视听高质量发展，进一步发挥首都全国文化中心示范作用，为建设社会主义文化强国</w:t>
      </w:r>
      <w:proofErr w:type="gramStart"/>
      <w:r>
        <w:rPr>
          <w:rStyle w:val="NormalCharacter"/>
          <w:rFonts w:ascii="仿宋_GB2312" w:eastAsia="仿宋_GB2312" w:hAnsi="仿宋_GB2312" w:cs="仿宋_GB2312" w:hint="eastAsia"/>
          <w:sz w:val="32"/>
          <w:szCs w:val="32"/>
        </w:rPr>
        <w:t>作出</w:t>
      </w:r>
      <w:proofErr w:type="gramEnd"/>
      <w:r>
        <w:rPr>
          <w:rStyle w:val="NormalCharacter"/>
          <w:rFonts w:ascii="仿宋_GB2312" w:eastAsia="仿宋_GB2312" w:hAnsi="仿宋_GB2312" w:cs="仿宋_GB2312" w:hint="eastAsia"/>
          <w:sz w:val="32"/>
          <w:szCs w:val="32"/>
        </w:rPr>
        <w:t>了应有贡献。</w:t>
      </w:r>
    </w:p>
    <w:p w:rsidR="00712025" w:rsidRDefault="0019271A">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kern w:val="0"/>
          <w:sz w:val="32"/>
          <w:szCs w:val="32"/>
        </w:rPr>
        <w:t>.</w:t>
      </w:r>
      <w:r>
        <w:rPr>
          <w:rFonts w:ascii="仿宋_GB2312" w:eastAsia="仿宋_GB2312" w:hAnsi="宋体" w:cs="宋体" w:hint="eastAsia"/>
          <w:kern w:val="0"/>
          <w:sz w:val="32"/>
          <w:szCs w:val="32"/>
        </w:rPr>
        <w:t>经济效益</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推动市场主体发展壮大，激发广播电视和网络视听经济增长活力。截至2022年12月31日，全市持证机构总数19309家，同比增长14.57%，占全国持证机构总数的34.11%，居全国首位。全市广播电视和网络视听行业全年实际创收收入4318.56亿元，比2021年增长7.37%，占全国实际创收收入的40.48%，继续领跑全国。</w:t>
      </w:r>
    </w:p>
    <w:p w:rsidR="00712025" w:rsidRDefault="0019271A">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w:t>
      </w:r>
      <w:r>
        <w:rPr>
          <w:rFonts w:ascii="仿宋_GB2312" w:eastAsia="仿宋_GB2312" w:hAnsi="宋体" w:cs="宋体"/>
          <w:kern w:val="0"/>
          <w:sz w:val="32"/>
          <w:szCs w:val="32"/>
        </w:rPr>
        <w:t>.</w:t>
      </w:r>
      <w:r>
        <w:rPr>
          <w:rFonts w:ascii="仿宋_GB2312" w:eastAsia="仿宋_GB2312" w:hAnsi="宋体" w:cs="宋体" w:hint="eastAsia"/>
          <w:kern w:val="0"/>
          <w:sz w:val="32"/>
          <w:szCs w:val="32"/>
        </w:rPr>
        <w:t>服务对象满意度</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财政投入资金在三个方面实现了服务对象满意。一是人民满意。我局“接诉即办”综合成绩2</w:t>
      </w:r>
      <w:r>
        <w:rPr>
          <w:rFonts w:ascii="仿宋_GB2312" w:eastAsia="仿宋_GB2312" w:hAnsi="宋体" w:cs="宋体"/>
          <w:kern w:val="0"/>
          <w:sz w:val="32"/>
          <w:szCs w:val="32"/>
        </w:rPr>
        <w:t>022</w:t>
      </w:r>
      <w:r>
        <w:rPr>
          <w:rFonts w:ascii="仿宋_GB2312" w:eastAsia="仿宋_GB2312" w:hAnsi="宋体" w:cs="宋体" w:hint="eastAsia"/>
          <w:kern w:val="0"/>
          <w:sz w:val="32"/>
          <w:szCs w:val="32"/>
        </w:rPr>
        <w:t>年3次列市级部门第1名，第6次被评为全市政务服务“先进单位”。二是服务对象满意。我局设定服务对象满意度指标的项目，总体满意度高达</w:t>
      </w:r>
      <w:r>
        <w:rPr>
          <w:rFonts w:ascii="仿宋_GB2312" w:eastAsia="仿宋_GB2312" w:hAnsi="宋体" w:cs="宋体"/>
          <w:kern w:val="0"/>
          <w:sz w:val="32"/>
          <w:szCs w:val="32"/>
        </w:rPr>
        <w:t>96%</w:t>
      </w:r>
      <w:r>
        <w:rPr>
          <w:rFonts w:ascii="仿宋_GB2312" w:eastAsia="仿宋_GB2312" w:hAnsi="宋体" w:cs="宋体" w:hint="eastAsia"/>
          <w:kern w:val="0"/>
          <w:sz w:val="32"/>
          <w:szCs w:val="32"/>
        </w:rPr>
        <w:t>，高于9</w:t>
      </w:r>
      <w:r>
        <w:rPr>
          <w:rFonts w:ascii="仿宋_GB2312" w:eastAsia="仿宋_GB2312" w:hAnsi="宋体" w:cs="宋体"/>
          <w:kern w:val="0"/>
          <w:sz w:val="32"/>
          <w:szCs w:val="32"/>
        </w:rPr>
        <w:t>0%</w:t>
      </w:r>
      <w:r>
        <w:rPr>
          <w:rFonts w:ascii="仿宋_GB2312" w:eastAsia="仿宋_GB2312" w:hAnsi="宋体" w:cs="宋体" w:hint="eastAsia"/>
          <w:kern w:val="0"/>
          <w:sz w:val="32"/>
          <w:szCs w:val="32"/>
        </w:rPr>
        <w:t>的平均满意</w:t>
      </w:r>
      <w:proofErr w:type="gramStart"/>
      <w:r>
        <w:rPr>
          <w:rFonts w:ascii="仿宋_GB2312" w:eastAsia="仿宋_GB2312" w:hAnsi="宋体" w:cs="宋体" w:hint="eastAsia"/>
          <w:kern w:val="0"/>
          <w:sz w:val="32"/>
          <w:szCs w:val="32"/>
        </w:rPr>
        <w:t>度目标</w:t>
      </w:r>
      <w:proofErr w:type="gramEnd"/>
      <w:r>
        <w:rPr>
          <w:rFonts w:ascii="仿宋_GB2312" w:eastAsia="仿宋_GB2312" w:hAnsi="宋体" w:cs="宋体"/>
          <w:kern w:val="0"/>
          <w:sz w:val="32"/>
          <w:szCs w:val="32"/>
        </w:rPr>
        <w:t>6</w:t>
      </w:r>
      <w:r>
        <w:rPr>
          <w:rFonts w:ascii="仿宋_GB2312" w:eastAsia="仿宋_GB2312" w:hAnsi="宋体" w:cs="宋体" w:hint="eastAsia"/>
          <w:kern w:val="0"/>
          <w:sz w:val="32"/>
          <w:szCs w:val="32"/>
        </w:rPr>
        <w:t>个百分点；各个项目均实现设定的服务对象满意度目标。三是领导肯定。各级领导对我局承办的多项工作给予肯定表扬，连续第6年获市政府绩效考评等次“优秀”。</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（三）产出进度和产出成本情况分析</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kern w:val="0"/>
          <w:sz w:val="32"/>
          <w:szCs w:val="32"/>
        </w:rPr>
        <w:t>.</w:t>
      </w:r>
      <w:r>
        <w:rPr>
          <w:rFonts w:ascii="仿宋_GB2312" w:eastAsia="仿宋_GB2312" w:hAnsi="宋体" w:cs="宋体" w:hint="eastAsia"/>
          <w:kern w:val="0"/>
          <w:sz w:val="32"/>
          <w:szCs w:val="32"/>
        </w:rPr>
        <w:t>产出进度</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一是科学合理设定进度计划。对标对表部门整体工作安排和绩效目标表，科学设定项目月度执行环节目标，提前安排好实施节奏，为顺利完成绩效目标奠定基础。</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二是按计划有序推进项目实施。项目执行过程中，开展月度绩效监控，督促提醒进度滞后的项目加快进度，有效保障项目实施进度。</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三是进度目标有效实现。通过绩效评价分析，去除疫情因素影响，各项工作均在时效目标内实现既定产出。</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kern w:val="0"/>
          <w:sz w:val="32"/>
          <w:szCs w:val="32"/>
        </w:rPr>
        <w:t>.</w:t>
      </w:r>
      <w:r>
        <w:rPr>
          <w:rFonts w:ascii="仿宋_GB2312" w:eastAsia="仿宋_GB2312" w:hAnsi="宋体" w:cs="宋体" w:hint="eastAsia"/>
          <w:kern w:val="0"/>
          <w:sz w:val="32"/>
          <w:szCs w:val="32"/>
        </w:rPr>
        <w:t>产出成本</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一是事前严格预算评审，做好事前成本控制。强化预算评审，加强对项目预期工作量和测算单价等要素的核查、取证和分析，提升预算编制的精准度。</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二是事中严格控制成本，确保资金高效安全使用。各项经费支出均控制在预算范围内，整体成本控制情况较好。</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三是事后重视项目验收，积极上交结余资金。项目完成后，及时总结分析项目成本，为下一年度预算编制提供参考。加强预算申报与执行对比分析，结余资金按规定上缴财政。</w:t>
      </w:r>
    </w:p>
    <w:p w:rsidR="00712025" w:rsidRDefault="0019271A">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四</w:t>
      </w:r>
      <w:r>
        <w:rPr>
          <w:rFonts w:ascii="黑体" w:eastAsia="黑体" w:hAnsi="黑体" w:cs="宋体"/>
          <w:kern w:val="0"/>
          <w:sz w:val="32"/>
          <w:szCs w:val="32"/>
        </w:rPr>
        <w:t>、预算管理</w:t>
      </w:r>
      <w:r>
        <w:rPr>
          <w:rFonts w:ascii="黑体" w:eastAsia="黑体" w:hAnsi="黑体" w:cs="宋体" w:hint="eastAsia"/>
          <w:kern w:val="0"/>
          <w:sz w:val="32"/>
          <w:szCs w:val="32"/>
        </w:rPr>
        <w:t>情况分</w:t>
      </w:r>
      <w:r>
        <w:rPr>
          <w:rFonts w:ascii="黑体" w:eastAsia="黑体" w:hAnsi="黑体" w:cs="宋体"/>
          <w:kern w:val="0"/>
          <w:sz w:val="32"/>
          <w:szCs w:val="32"/>
        </w:rPr>
        <w:t>析</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（一）财务管理</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1.</w:t>
      </w:r>
      <w:r>
        <w:rPr>
          <w:rFonts w:ascii="仿宋_GB2312" w:eastAsia="仿宋_GB2312" w:hAnsi="宋体" w:cs="宋体" w:hint="eastAsia"/>
          <w:kern w:val="0"/>
          <w:sz w:val="32"/>
          <w:szCs w:val="32"/>
        </w:rPr>
        <w:t>财务管理制度健全性</w:t>
      </w:r>
    </w:p>
    <w:p w:rsidR="00712025" w:rsidRDefault="0019271A">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制度体系健全、行之有效。一是预算资金管理办法、绩效跟踪管理办法、资产管理办法等各项制度健全有效，规范了权责范围，强化了流程审批，夯实了我局规范化管理的制度基础。二是财务管理制度完备、规范。制度适用范围覆盖机关各处室及所属事业单位，规范了我局各项财务行为，构建了管理目标责任明确、工作高效、核算全面、协调制约的财务管理体系。三是会计核算制度完整、合</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。严格按照国家统一的会计制度，设置会计账簿，进行会计核算和账务处理。</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lastRenderedPageBreak/>
        <w:t>2.</w:t>
      </w:r>
      <w:r>
        <w:rPr>
          <w:rFonts w:ascii="仿宋_GB2312" w:eastAsia="仿宋_GB2312" w:hAnsi="宋体" w:cs="宋体" w:hint="eastAsia"/>
          <w:kern w:val="0"/>
          <w:sz w:val="32"/>
          <w:szCs w:val="32"/>
        </w:rPr>
        <w:t>资金使用合</w:t>
      </w:r>
      <w:proofErr w:type="gramStart"/>
      <w:r>
        <w:rPr>
          <w:rFonts w:ascii="仿宋_GB2312" w:eastAsia="仿宋_GB2312" w:hAnsi="宋体" w:cs="宋体" w:hint="eastAsia"/>
          <w:kern w:val="0"/>
          <w:sz w:val="32"/>
          <w:szCs w:val="32"/>
        </w:rPr>
        <w:t>规</w:t>
      </w:r>
      <w:proofErr w:type="gramEnd"/>
      <w:r>
        <w:rPr>
          <w:rFonts w:ascii="仿宋_GB2312" w:eastAsia="仿宋_GB2312" w:hAnsi="宋体" w:cs="宋体" w:hint="eastAsia"/>
          <w:kern w:val="0"/>
          <w:sz w:val="32"/>
          <w:szCs w:val="32"/>
        </w:rPr>
        <w:t>性和安全性</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资金使用合</w:t>
      </w:r>
      <w:proofErr w:type="gramStart"/>
      <w:r>
        <w:rPr>
          <w:rFonts w:ascii="仿宋_GB2312" w:eastAsia="仿宋_GB2312" w:hAnsi="宋体" w:cs="宋体" w:hint="eastAsia"/>
          <w:kern w:val="0"/>
          <w:sz w:val="32"/>
          <w:szCs w:val="32"/>
        </w:rPr>
        <w:t>规</w:t>
      </w:r>
      <w:proofErr w:type="gramEnd"/>
      <w:r>
        <w:rPr>
          <w:rFonts w:ascii="仿宋_GB2312" w:eastAsia="仿宋_GB2312" w:hAnsi="宋体" w:cs="宋体" w:hint="eastAsia"/>
          <w:kern w:val="0"/>
          <w:sz w:val="32"/>
          <w:szCs w:val="32"/>
        </w:rPr>
        <w:t>、安全。一是严格执行各项财经法规规定。政府采购应采尽采，按预算批复用途使用资金，按规定的结算方式进行结算。二是严格执行内控制度规定。大额资金支出经过评估论证，资金拨付有完整的审批程序和手续。三是严格执行专项资金管理规定。专款专用，不存在截留、挤占、挪用、虚列支出。</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3.</w:t>
      </w:r>
      <w:r>
        <w:rPr>
          <w:rFonts w:ascii="仿宋_GB2312" w:eastAsia="仿宋_GB2312" w:hAnsi="宋体" w:cs="宋体" w:hint="eastAsia"/>
          <w:kern w:val="0"/>
          <w:sz w:val="32"/>
          <w:szCs w:val="32"/>
        </w:rPr>
        <w:t>会计基础信息完善性</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会计基础信息真实、准确、完整。一是会计信息真实。严格依据实际发生的事项进行会计核算，夯实基础数据来源的可靠性。二是会计信息准确。加强会计监督，精确计算财务数据，规范使用会计科目，确保账实、账</w:t>
      </w:r>
      <w:proofErr w:type="gramStart"/>
      <w:r>
        <w:rPr>
          <w:rFonts w:ascii="仿宋_GB2312" w:eastAsia="仿宋_GB2312" w:hAnsi="宋体" w:cs="宋体" w:hint="eastAsia"/>
          <w:kern w:val="0"/>
          <w:sz w:val="32"/>
          <w:szCs w:val="32"/>
        </w:rPr>
        <w:t>账</w:t>
      </w:r>
      <w:proofErr w:type="gramEnd"/>
      <w:r>
        <w:rPr>
          <w:rFonts w:ascii="仿宋_GB2312" w:eastAsia="仿宋_GB2312" w:hAnsi="宋体" w:cs="宋体" w:hint="eastAsia"/>
          <w:kern w:val="0"/>
          <w:sz w:val="32"/>
          <w:szCs w:val="32"/>
        </w:rPr>
        <w:t>、账表数据一致。三是会计信息完整。会计核算内容全面完整，会计资料及时收集整理、全面归档、妥善保管。</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（二）资产管理</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一是强化资产管理，严格按照固定资产管理制度规定执行，不存在因管理不当导致的严重资产损失和</w:t>
      </w:r>
      <w:r>
        <w:rPr>
          <w:rFonts w:ascii="仿宋_GB2312" w:eastAsia="仿宋_GB2312" w:hAnsi="宋体" w:cs="宋体"/>
          <w:kern w:val="0"/>
          <w:sz w:val="32"/>
          <w:szCs w:val="32"/>
        </w:rPr>
        <w:t>丢失情况</w:t>
      </w:r>
      <w:r>
        <w:rPr>
          <w:rFonts w:ascii="仿宋_GB2312" w:eastAsia="仿宋_GB2312" w:hAnsi="宋体" w:cs="宋体" w:hint="eastAsia"/>
          <w:kern w:val="0"/>
          <w:sz w:val="32"/>
          <w:szCs w:val="32"/>
        </w:rPr>
        <w:t>。二是规范资产使用，定期开展资产清查，不存在未经批准擅自出租出借行为。三是规范资产处置，不存在不按要求进行报批或资产不公开处置行为。</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（三）绩效</w:t>
      </w:r>
      <w:r>
        <w:rPr>
          <w:rFonts w:ascii="楷体" w:eastAsia="楷体" w:hAnsi="楷体"/>
          <w:sz w:val="32"/>
          <w:szCs w:val="32"/>
        </w:rPr>
        <w:t>管理</w:t>
      </w:r>
    </w:p>
    <w:p w:rsidR="00712025" w:rsidRDefault="0019271A">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严格落实绩效管理相关要求，加强绩效管理信息的汇总和应用，深化全流程绩效监控，按月对绩效监控信息进行收集、审核、</w:t>
      </w:r>
      <w:r>
        <w:rPr>
          <w:rFonts w:ascii="仿宋_GB2312" w:eastAsia="仿宋_GB2312" w:hAnsi="宋体" w:cs="宋体" w:hint="eastAsia"/>
          <w:kern w:val="0"/>
          <w:sz w:val="32"/>
          <w:szCs w:val="32"/>
        </w:rPr>
        <w:lastRenderedPageBreak/>
        <w:t>分析、汇总，对发现的问题和风险进行</w:t>
      </w:r>
      <w:proofErr w:type="gramStart"/>
      <w:r>
        <w:rPr>
          <w:rFonts w:ascii="仿宋_GB2312" w:eastAsia="仿宋_GB2312" w:hAnsi="宋体" w:cs="宋体" w:hint="eastAsia"/>
          <w:kern w:val="0"/>
          <w:sz w:val="32"/>
          <w:szCs w:val="32"/>
        </w:rPr>
        <w:t>研</w:t>
      </w:r>
      <w:proofErr w:type="gramEnd"/>
      <w:r>
        <w:rPr>
          <w:rFonts w:ascii="仿宋_GB2312" w:eastAsia="仿宋_GB2312" w:hAnsi="宋体" w:cs="宋体" w:hint="eastAsia"/>
          <w:kern w:val="0"/>
          <w:sz w:val="32"/>
          <w:szCs w:val="32"/>
        </w:rPr>
        <w:t>判，及时纠偏。</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（四）结转结余率</w:t>
      </w:r>
    </w:p>
    <w:p w:rsidR="00712025" w:rsidRDefault="0019271A">
      <w:pPr>
        <w:spacing w:line="560" w:lineRule="exact"/>
        <w:ind w:firstLineChars="200" w:firstLine="640"/>
        <w:rPr>
          <w:rFonts w:ascii="仿宋_GB2312" w:eastAsia="仿宋_GB2312"/>
          <w:sz w:val="32"/>
          <w:szCs w:val="32"/>
        </w:rPr>
      </w:pPr>
      <w:r>
        <w:rPr>
          <w:rFonts w:ascii="仿宋_GB2312" w:eastAsia="仿宋_GB2312" w:hint="eastAsia"/>
          <w:sz w:val="32"/>
          <w:szCs w:val="32"/>
        </w:rPr>
        <w:t>2022年底，我局结转结余资金3,899.48万元，支出预算数</w:t>
      </w:r>
      <w:r>
        <w:rPr>
          <w:rFonts w:ascii="仿宋_GB2312" w:eastAsia="仿宋_GB2312"/>
          <w:sz w:val="32"/>
          <w:szCs w:val="32"/>
        </w:rPr>
        <w:t>53,159.77</w:t>
      </w:r>
      <w:r>
        <w:rPr>
          <w:rFonts w:ascii="仿宋_GB2312" w:eastAsia="仿宋_GB2312" w:hint="eastAsia"/>
          <w:sz w:val="32"/>
          <w:szCs w:val="32"/>
        </w:rPr>
        <w:t>万元，结转结余率7.</w:t>
      </w:r>
      <w:r>
        <w:rPr>
          <w:rFonts w:ascii="仿宋_GB2312" w:eastAsia="仿宋_GB2312"/>
          <w:sz w:val="32"/>
          <w:szCs w:val="32"/>
        </w:rPr>
        <w:t>34</w:t>
      </w:r>
      <w:r>
        <w:rPr>
          <w:rFonts w:ascii="仿宋_GB2312" w:eastAsia="仿宋_GB2312" w:hint="eastAsia"/>
          <w:sz w:val="32"/>
          <w:szCs w:val="32"/>
        </w:rPr>
        <w:t>%，比2021年8</w:t>
      </w:r>
      <w:r>
        <w:rPr>
          <w:rFonts w:ascii="仿宋_GB2312" w:eastAsia="仿宋_GB2312"/>
          <w:sz w:val="32"/>
          <w:szCs w:val="32"/>
          <w:lang w:val="en"/>
        </w:rPr>
        <w:t>.</w:t>
      </w:r>
      <w:r>
        <w:rPr>
          <w:rFonts w:ascii="仿宋_GB2312" w:eastAsia="仿宋_GB2312" w:hint="eastAsia"/>
          <w:sz w:val="32"/>
          <w:szCs w:val="32"/>
        </w:rPr>
        <w:t>36%下降</w:t>
      </w:r>
      <w:r>
        <w:rPr>
          <w:rFonts w:ascii="仿宋_GB2312" w:eastAsia="仿宋_GB2312"/>
          <w:sz w:val="32"/>
          <w:szCs w:val="32"/>
          <w:lang w:val="en"/>
        </w:rPr>
        <w:t>1.02</w:t>
      </w:r>
      <w:r>
        <w:rPr>
          <w:rFonts w:ascii="仿宋_GB2312" w:eastAsia="仿宋_GB2312" w:hint="eastAsia"/>
          <w:sz w:val="32"/>
          <w:szCs w:val="32"/>
        </w:rPr>
        <w:t>%。</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（五）部门</w:t>
      </w:r>
      <w:r>
        <w:rPr>
          <w:rFonts w:ascii="楷体" w:eastAsia="楷体" w:hAnsi="楷体"/>
          <w:sz w:val="32"/>
          <w:szCs w:val="32"/>
        </w:rPr>
        <w:t>预决算差异率</w:t>
      </w:r>
    </w:p>
    <w:p w:rsidR="00712025" w:rsidRDefault="0019271A">
      <w:pPr>
        <w:spacing w:line="560" w:lineRule="exact"/>
        <w:ind w:firstLineChars="200" w:firstLine="640"/>
        <w:rPr>
          <w:rFonts w:ascii="仿宋_GB2312" w:eastAsia="仿宋_GB2312"/>
          <w:sz w:val="32"/>
          <w:szCs w:val="32"/>
        </w:rPr>
      </w:pPr>
      <w:r>
        <w:rPr>
          <w:rFonts w:ascii="仿宋_GB2312" w:eastAsia="仿宋_GB2312" w:hint="eastAsia"/>
          <w:sz w:val="32"/>
          <w:szCs w:val="32"/>
        </w:rPr>
        <w:t>2022年，我局年初预算批复数为50,100.73万元，决算数为53,159.77万元，差异3,059.04万元，差异率6.11%。</w:t>
      </w:r>
    </w:p>
    <w:p w:rsidR="00712025" w:rsidRDefault="0019271A">
      <w:pPr>
        <w:spacing w:line="560" w:lineRule="exact"/>
        <w:ind w:firstLineChars="200" w:firstLine="64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712025" w:rsidRDefault="0019271A">
      <w:pPr>
        <w:spacing w:line="560" w:lineRule="exact"/>
        <w:ind w:firstLineChars="200" w:firstLine="640"/>
        <w:rPr>
          <w:rFonts w:ascii="楷体" w:eastAsia="楷体" w:hAnsi="楷体"/>
          <w:sz w:val="32"/>
          <w:szCs w:val="32"/>
        </w:rPr>
      </w:pPr>
      <w:r>
        <w:rPr>
          <w:rFonts w:ascii="楷体" w:eastAsia="楷体" w:hAnsi="楷体" w:hint="eastAsia"/>
          <w:sz w:val="32"/>
          <w:szCs w:val="32"/>
        </w:rPr>
        <w:t>（一）评价</w:t>
      </w:r>
      <w:r>
        <w:rPr>
          <w:rFonts w:ascii="楷体" w:eastAsia="楷体" w:hAnsi="楷体"/>
          <w:sz w:val="32"/>
          <w:szCs w:val="32"/>
        </w:rPr>
        <w:t>得分</w:t>
      </w:r>
      <w:r>
        <w:rPr>
          <w:rFonts w:ascii="楷体" w:eastAsia="楷体" w:hAnsi="楷体" w:hint="eastAsia"/>
          <w:sz w:val="32"/>
          <w:szCs w:val="32"/>
        </w:rPr>
        <w:t>情况</w:t>
      </w:r>
    </w:p>
    <w:p w:rsidR="00712025" w:rsidRDefault="0019271A">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经过全面、系统、客观地分析评价，我局综合得分为</w:t>
      </w:r>
      <w:r>
        <w:rPr>
          <w:rFonts w:ascii="仿宋_GB2312" w:eastAsia="仿宋_GB2312" w:hAnsi="仿宋_GB2312" w:cs="仿宋_GB2312"/>
          <w:kern w:val="0"/>
          <w:sz w:val="32"/>
          <w:szCs w:val="32"/>
        </w:rPr>
        <w:t>97.53</w:t>
      </w:r>
      <w:r>
        <w:rPr>
          <w:rFonts w:ascii="仿宋_GB2312" w:eastAsia="仿宋_GB2312" w:hAnsi="仿宋_GB2312" w:cs="仿宋_GB2312" w:hint="eastAsia"/>
          <w:kern w:val="0"/>
          <w:sz w:val="32"/>
          <w:szCs w:val="32"/>
        </w:rPr>
        <w:t>分，综合评价等级为“优秀”。</w:t>
      </w:r>
    </w:p>
    <w:p w:rsidR="00712025" w:rsidRDefault="0019271A" w:rsidP="008B446C">
      <w:pPr>
        <w:widowControl/>
        <w:spacing w:afterLines="50" w:after="156" w:line="560" w:lineRule="exact"/>
        <w:ind w:firstLineChars="200" w:firstLine="643"/>
        <w:jc w:val="center"/>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部门整体绩效评价结论一览表</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347"/>
        <w:gridCol w:w="1843"/>
        <w:gridCol w:w="1985"/>
        <w:gridCol w:w="2040"/>
      </w:tblGrid>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
                <w:kern w:val="0"/>
                <w:sz w:val="24"/>
              </w:rPr>
            </w:pPr>
            <w:r>
              <w:rPr>
                <w:rFonts w:ascii="仿宋_GB2312" w:eastAsia="仿宋_GB2312" w:hAnsi="仿宋_GB2312" w:cs="仿宋_GB2312" w:hint="eastAsia"/>
                <w:b/>
                <w:kern w:val="0"/>
                <w:sz w:val="24"/>
              </w:rPr>
              <w:t>评价内容</w:t>
            </w:r>
          </w:p>
        </w:tc>
        <w:tc>
          <w:tcPr>
            <w:tcW w:w="1843" w:type="dxa"/>
            <w:vAlign w:val="center"/>
          </w:tcPr>
          <w:p w:rsidR="00712025" w:rsidRDefault="0019271A">
            <w:pPr>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分值</w:t>
            </w:r>
          </w:p>
        </w:tc>
        <w:tc>
          <w:tcPr>
            <w:tcW w:w="1985" w:type="dxa"/>
            <w:vAlign w:val="center"/>
          </w:tcPr>
          <w:p w:rsidR="00712025" w:rsidRDefault="0019271A">
            <w:pPr>
              <w:widowControl/>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评价得分</w:t>
            </w:r>
          </w:p>
        </w:tc>
        <w:tc>
          <w:tcPr>
            <w:tcW w:w="2040" w:type="dxa"/>
            <w:vAlign w:val="center"/>
          </w:tcPr>
          <w:p w:rsidR="00712025" w:rsidRDefault="0019271A">
            <w:pPr>
              <w:widowControl/>
              <w:adjustRightInd w:val="0"/>
              <w:snapToGrid w:val="0"/>
              <w:jc w:val="center"/>
              <w:rPr>
                <w:rFonts w:ascii="仿宋_GB2312" w:eastAsia="仿宋_GB2312" w:hAnsi="仿宋_GB2312" w:cs="仿宋_GB2312"/>
                <w:b/>
                <w:sz w:val="24"/>
              </w:rPr>
            </w:pPr>
            <w:r>
              <w:rPr>
                <w:rFonts w:ascii="仿宋_GB2312" w:eastAsia="仿宋_GB2312" w:hAnsi="仿宋_GB2312" w:cs="仿宋_GB2312" w:hint="eastAsia"/>
                <w:b/>
                <w:sz w:val="24"/>
              </w:rPr>
              <w:t>得分率</w:t>
            </w:r>
          </w:p>
        </w:tc>
      </w:tr>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当年预算执行情况</w:t>
            </w:r>
          </w:p>
        </w:tc>
        <w:tc>
          <w:tcPr>
            <w:tcW w:w="1843"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w:t>
            </w:r>
          </w:p>
        </w:tc>
        <w:tc>
          <w:tcPr>
            <w:tcW w:w="1985"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18.53</w:t>
            </w:r>
          </w:p>
        </w:tc>
        <w:tc>
          <w:tcPr>
            <w:tcW w:w="2040"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92.66%</w:t>
            </w:r>
          </w:p>
        </w:tc>
      </w:tr>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整体绩效目标实现情况</w:t>
            </w:r>
          </w:p>
        </w:tc>
        <w:tc>
          <w:tcPr>
            <w:tcW w:w="1843"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60</w:t>
            </w:r>
          </w:p>
        </w:tc>
        <w:tc>
          <w:tcPr>
            <w:tcW w:w="1985"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59.80</w:t>
            </w:r>
          </w:p>
        </w:tc>
        <w:tc>
          <w:tcPr>
            <w:tcW w:w="2040"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99.67%</w:t>
            </w:r>
          </w:p>
        </w:tc>
      </w:tr>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预算管理情况</w:t>
            </w:r>
          </w:p>
        </w:tc>
        <w:tc>
          <w:tcPr>
            <w:tcW w:w="1843"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w:t>
            </w:r>
          </w:p>
        </w:tc>
        <w:tc>
          <w:tcPr>
            <w:tcW w:w="1985"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19.20</w:t>
            </w:r>
          </w:p>
        </w:tc>
        <w:tc>
          <w:tcPr>
            <w:tcW w:w="2040" w:type="dxa"/>
            <w:vAlign w:val="center"/>
          </w:tcPr>
          <w:p w:rsidR="00712025" w:rsidRDefault="0019271A">
            <w:pPr>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96.00%</w:t>
            </w:r>
          </w:p>
        </w:tc>
      </w:tr>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综合得分</w:t>
            </w:r>
          </w:p>
        </w:tc>
        <w:tc>
          <w:tcPr>
            <w:tcW w:w="1843" w:type="dxa"/>
            <w:vAlign w:val="center"/>
          </w:tcPr>
          <w:p w:rsidR="00712025" w:rsidRDefault="0019271A">
            <w:pPr>
              <w:adjustRightInd w:val="0"/>
              <w:snapToGrid w:val="0"/>
              <w:jc w:val="center"/>
              <w:rPr>
                <w:rFonts w:ascii="仿宋_GB2312" w:eastAsia="仿宋_GB2312" w:hAnsi="仿宋_GB2312" w:cs="仿宋_GB2312"/>
                <w:b/>
                <w:kern w:val="0"/>
                <w:sz w:val="24"/>
              </w:rPr>
            </w:pPr>
            <w:r>
              <w:rPr>
                <w:rFonts w:ascii="仿宋_GB2312" w:eastAsia="仿宋_GB2312" w:hAnsi="仿宋_GB2312" w:cs="仿宋_GB2312" w:hint="eastAsia"/>
                <w:b/>
                <w:kern w:val="0"/>
                <w:sz w:val="24"/>
              </w:rPr>
              <w:t>100</w:t>
            </w:r>
          </w:p>
        </w:tc>
        <w:tc>
          <w:tcPr>
            <w:tcW w:w="1985" w:type="dxa"/>
            <w:vAlign w:val="center"/>
          </w:tcPr>
          <w:p w:rsidR="00712025" w:rsidRDefault="0019271A">
            <w:pPr>
              <w:adjustRightInd w:val="0"/>
              <w:snapToGrid w:val="0"/>
              <w:jc w:val="center"/>
              <w:rPr>
                <w:rFonts w:ascii="仿宋_GB2312" w:eastAsia="仿宋_GB2312" w:hAnsi="仿宋_GB2312" w:cs="仿宋_GB2312"/>
                <w:b/>
                <w:kern w:val="0"/>
                <w:sz w:val="24"/>
              </w:rPr>
            </w:pPr>
            <w:r>
              <w:rPr>
                <w:rFonts w:ascii="仿宋_GB2312" w:eastAsia="仿宋_GB2312" w:hAnsi="仿宋_GB2312" w:cs="仿宋_GB2312" w:hint="eastAsia"/>
                <w:b/>
                <w:kern w:val="0"/>
                <w:sz w:val="24"/>
              </w:rPr>
              <w:t>97.53</w:t>
            </w:r>
          </w:p>
        </w:tc>
        <w:tc>
          <w:tcPr>
            <w:tcW w:w="2040" w:type="dxa"/>
            <w:vAlign w:val="center"/>
          </w:tcPr>
          <w:p w:rsidR="00712025" w:rsidRDefault="0019271A">
            <w:pPr>
              <w:adjustRightInd w:val="0"/>
              <w:snapToGrid w:val="0"/>
              <w:jc w:val="center"/>
              <w:rPr>
                <w:rFonts w:ascii="仿宋_GB2312" w:eastAsia="仿宋_GB2312" w:hAnsi="仿宋_GB2312" w:cs="仿宋_GB2312"/>
                <w:b/>
                <w:kern w:val="0"/>
                <w:sz w:val="24"/>
              </w:rPr>
            </w:pPr>
            <w:r>
              <w:rPr>
                <w:rFonts w:ascii="仿宋_GB2312" w:eastAsia="仿宋_GB2312" w:hAnsi="仿宋_GB2312" w:cs="仿宋_GB2312" w:hint="eastAsia"/>
                <w:b/>
                <w:kern w:val="0"/>
                <w:sz w:val="24"/>
              </w:rPr>
              <w:t>97.53%</w:t>
            </w:r>
          </w:p>
        </w:tc>
      </w:tr>
      <w:tr w:rsidR="00712025">
        <w:trPr>
          <w:cantSplit/>
          <w:trHeight w:val="510"/>
          <w:jc w:val="center"/>
        </w:trPr>
        <w:tc>
          <w:tcPr>
            <w:tcW w:w="3347" w:type="dxa"/>
            <w:vAlign w:val="center"/>
          </w:tcPr>
          <w:p w:rsidR="00712025" w:rsidRDefault="0019271A">
            <w:pPr>
              <w:widowControl/>
              <w:adjustRightInd w:val="0"/>
              <w:snapToGrid w:val="0"/>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绩效评定级别</w:t>
            </w:r>
          </w:p>
        </w:tc>
        <w:tc>
          <w:tcPr>
            <w:tcW w:w="5868" w:type="dxa"/>
            <w:gridSpan w:val="3"/>
            <w:vAlign w:val="center"/>
          </w:tcPr>
          <w:p w:rsidR="00712025" w:rsidRDefault="0019271A" w:rsidP="008B446C">
            <w:pPr>
              <w:adjustRightInd w:val="0"/>
              <w:snapToGrid w:val="0"/>
              <w:ind w:firstLineChars="200" w:firstLine="482"/>
              <w:jc w:val="center"/>
              <w:rPr>
                <w:rFonts w:ascii="仿宋_GB2312" w:eastAsia="仿宋_GB2312" w:hAnsi="仿宋_GB2312" w:cs="仿宋_GB2312"/>
                <w:b/>
                <w:kern w:val="0"/>
                <w:sz w:val="24"/>
              </w:rPr>
            </w:pPr>
            <w:r>
              <w:rPr>
                <w:rFonts w:ascii="仿宋_GB2312" w:eastAsia="仿宋_GB2312" w:hAnsi="仿宋_GB2312" w:cs="仿宋_GB2312" w:hint="eastAsia"/>
                <w:b/>
                <w:kern w:val="0"/>
                <w:sz w:val="24"/>
              </w:rPr>
              <w:t>优秀</w:t>
            </w:r>
          </w:p>
        </w:tc>
      </w:tr>
    </w:tbl>
    <w:p w:rsidR="00712025" w:rsidRDefault="0019271A">
      <w:pPr>
        <w:spacing w:line="560" w:lineRule="exact"/>
        <w:ind w:firstLineChars="200" w:firstLine="640"/>
        <w:rPr>
          <w:rFonts w:ascii="楷体_GB2312" w:eastAsia="楷体_GB2312"/>
          <w:sz w:val="32"/>
          <w:szCs w:val="32"/>
        </w:rPr>
      </w:pPr>
      <w:r>
        <w:rPr>
          <w:rFonts w:ascii="楷体" w:eastAsia="楷体" w:hAnsi="楷体" w:hint="eastAsia"/>
          <w:sz w:val="32"/>
          <w:szCs w:val="32"/>
        </w:rPr>
        <w:t>（二）存在的问题及原因分析</w:t>
      </w:r>
    </w:p>
    <w:p w:rsidR="00712025" w:rsidRDefault="0019271A">
      <w:pPr>
        <w:spacing w:line="560" w:lineRule="exact"/>
        <w:ind w:firstLineChars="200" w:firstLine="640"/>
        <w:rPr>
          <w:rFonts w:ascii="黑体" w:eastAsia="黑体" w:hAnsi="黑体" w:cs="宋体"/>
          <w:kern w:val="0"/>
          <w:sz w:val="32"/>
          <w:szCs w:val="32"/>
        </w:rPr>
      </w:pPr>
      <w:r>
        <w:rPr>
          <w:rFonts w:ascii="仿宋_GB2312" w:eastAsia="仿宋_GB2312" w:hAnsi="宋体" w:cs="宋体" w:hint="eastAsia"/>
          <w:kern w:val="0"/>
          <w:sz w:val="32"/>
          <w:szCs w:val="32"/>
        </w:rPr>
        <w:t>我局各项目总体上能够紧紧围绕全局中心工作，合理安排项目推进步骤，科学使用各项预算经费，资金使用合</w:t>
      </w:r>
      <w:proofErr w:type="gramStart"/>
      <w:r>
        <w:rPr>
          <w:rFonts w:ascii="仿宋_GB2312" w:eastAsia="仿宋_GB2312" w:hAnsi="宋体" w:cs="宋体" w:hint="eastAsia"/>
          <w:kern w:val="0"/>
          <w:sz w:val="32"/>
          <w:szCs w:val="32"/>
        </w:rPr>
        <w:t>规</w:t>
      </w:r>
      <w:proofErr w:type="gramEnd"/>
      <w:r>
        <w:rPr>
          <w:rFonts w:ascii="仿宋_GB2312" w:eastAsia="仿宋_GB2312" w:hAnsi="宋体" w:cs="宋体" w:hint="eastAsia"/>
          <w:kern w:val="0"/>
          <w:sz w:val="32"/>
          <w:szCs w:val="32"/>
        </w:rPr>
        <w:t>，项目效益突出。但是，受疫情影响，个别事项无法开展，形成结余资金，</w:t>
      </w:r>
      <w:r>
        <w:rPr>
          <w:rFonts w:ascii="仿宋_GB2312" w:eastAsia="仿宋_GB2312" w:hAnsi="宋体" w:cs="宋体" w:hint="eastAsia"/>
          <w:kern w:val="0"/>
          <w:sz w:val="32"/>
          <w:szCs w:val="32"/>
        </w:rPr>
        <w:lastRenderedPageBreak/>
        <w:t>已按规定上缴财政。</w:t>
      </w:r>
    </w:p>
    <w:p w:rsidR="00712025" w:rsidRDefault="0019271A">
      <w:pPr>
        <w:numPr>
          <w:ilvl w:val="0"/>
          <w:numId w:val="1"/>
        </w:numPr>
        <w:pBdr>
          <w:bottom w:val="single" w:sz="4" w:space="31" w:color="FFFFFF"/>
        </w:pBdr>
        <w:adjustRightInd w:val="0"/>
        <w:snapToGrid w:val="0"/>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措施建议</w:t>
      </w:r>
    </w:p>
    <w:p w:rsidR="00712025" w:rsidRPr="00D7341F" w:rsidRDefault="0019271A" w:rsidP="00D7341F">
      <w:pPr>
        <w:pBdr>
          <w:bottom w:val="single" w:sz="4" w:space="31" w:color="FFFFFF"/>
        </w:pBdr>
        <w:adjustRightInd w:val="0"/>
        <w:snapToGrid w:val="0"/>
        <w:spacing w:line="560" w:lineRule="exact"/>
        <w:ind w:firstLineChars="200" w:firstLine="640"/>
        <w:rPr>
          <w:rFonts w:ascii="仿宋_GB2312" w:eastAsia="仿宋_GB2312" w:hAnsi="宋体" w:cs="宋体"/>
          <w:kern w:val="0"/>
          <w:sz w:val="32"/>
          <w:szCs w:val="32"/>
        </w:rPr>
        <w:sectPr w:rsidR="00712025" w:rsidRPr="00D7341F">
          <w:footerReference w:type="default" r:id="rId9"/>
          <w:pgSz w:w="11906" w:h="16838"/>
          <w:pgMar w:top="2098" w:right="1474" w:bottom="1984" w:left="1587" w:header="851" w:footer="992" w:gutter="0"/>
          <w:cols w:space="425"/>
          <w:docGrid w:type="lines" w:linePitch="312"/>
        </w:sectPr>
      </w:pPr>
      <w:r>
        <w:rPr>
          <w:rFonts w:ascii="仿宋_GB2312" w:eastAsia="仿宋_GB2312" w:hAnsi="宋体" w:cs="宋体" w:hint="eastAsia"/>
          <w:kern w:val="0"/>
          <w:sz w:val="32"/>
          <w:szCs w:val="32"/>
        </w:rPr>
        <w:t>积极组织相关绩效培训，进一步强化绩效意识，强化部门预算绩效全过程管理，不断提高财政资金使用效益。</w:t>
      </w:r>
    </w:p>
    <w:tbl>
      <w:tblPr>
        <w:tblpPr w:leftFromText="180" w:rightFromText="180" w:vertAnchor="text" w:horzAnchor="margin" w:tblpXSpec="center" w:tblpY="143"/>
        <w:tblOverlap w:val="never"/>
        <w:tblW w:w="5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979"/>
        <w:gridCol w:w="1207"/>
        <w:gridCol w:w="1872"/>
        <w:gridCol w:w="3604"/>
        <w:gridCol w:w="871"/>
        <w:gridCol w:w="865"/>
        <w:gridCol w:w="2147"/>
        <w:gridCol w:w="3164"/>
      </w:tblGrid>
      <w:tr w:rsidR="00D7341F" w:rsidTr="00D7341F">
        <w:trPr>
          <w:trHeight w:val="499"/>
        </w:trPr>
        <w:tc>
          <w:tcPr>
            <w:tcW w:w="5000" w:type="pct"/>
            <w:gridSpan w:val="9"/>
            <w:tcBorders>
              <w:top w:val="nil"/>
              <w:left w:val="nil"/>
              <w:bottom w:val="single" w:sz="4" w:space="0" w:color="auto"/>
              <w:right w:val="nil"/>
            </w:tcBorders>
            <w:noWrap/>
            <w:vAlign w:val="bottom"/>
          </w:tcPr>
          <w:p w:rsidR="00D7341F" w:rsidRDefault="00D7341F" w:rsidP="00D7341F">
            <w:pPr>
              <w:widowControl/>
              <w:jc w:val="center"/>
              <w:rPr>
                <w:rFonts w:ascii="方正小标宋简体" w:eastAsia="方正小标宋简体" w:hAnsi="黑体" w:cs="宋体"/>
                <w:kern w:val="0"/>
                <w:sz w:val="28"/>
                <w:szCs w:val="28"/>
              </w:rPr>
            </w:pPr>
            <w:bookmarkStart w:id="0" w:name="_GoBack"/>
            <w:bookmarkEnd w:id="0"/>
            <w:r>
              <w:rPr>
                <w:rFonts w:ascii="方正小标宋简体" w:eastAsia="方正小标宋简体" w:hAnsi="黑体" w:cs="宋体" w:hint="eastAsia"/>
                <w:kern w:val="0"/>
                <w:sz w:val="28"/>
                <w:szCs w:val="28"/>
              </w:rPr>
              <w:lastRenderedPageBreak/>
              <w:t>202</w:t>
            </w:r>
            <w:r>
              <w:rPr>
                <w:rFonts w:ascii="方正小标宋简体" w:eastAsia="方正小标宋简体" w:hAnsi="黑体" w:cs="宋体"/>
                <w:kern w:val="0"/>
                <w:sz w:val="28"/>
                <w:szCs w:val="28"/>
              </w:rPr>
              <w:t>2</w:t>
            </w:r>
            <w:r>
              <w:rPr>
                <w:rFonts w:ascii="方正小标宋简体" w:eastAsia="方正小标宋简体" w:hAnsi="黑体" w:cs="宋体" w:hint="eastAsia"/>
                <w:kern w:val="0"/>
                <w:sz w:val="28"/>
                <w:szCs w:val="28"/>
              </w:rPr>
              <w:t>年部门整体绩效评价指标体系评分表</w:t>
            </w:r>
          </w:p>
        </w:tc>
      </w:tr>
      <w:tr w:rsidR="00D7341F" w:rsidTr="00D7341F">
        <w:trPr>
          <w:trHeight w:val="227"/>
        </w:trPr>
        <w:tc>
          <w:tcPr>
            <w:tcW w:w="5000" w:type="pct"/>
            <w:gridSpan w:val="9"/>
            <w:tcBorders>
              <w:top w:val="single" w:sz="4" w:space="0" w:color="auto"/>
            </w:tcBorders>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一、</w:t>
            </w:r>
            <w:r>
              <w:rPr>
                <w:rFonts w:ascii="宋体" w:hAnsi="宋体" w:cs="宋体" w:hint="eastAsia"/>
                <w:kern w:val="0"/>
                <w:sz w:val="20"/>
                <w:szCs w:val="20"/>
              </w:rPr>
              <w:t>当年预算执行情况（20分）</w:t>
            </w:r>
          </w:p>
        </w:tc>
      </w:tr>
      <w:tr w:rsidR="00D7341F" w:rsidTr="00D7341F">
        <w:trPr>
          <w:trHeight w:val="852"/>
        </w:trPr>
        <w:tc>
          <w:tcPr>
            <w:tcW w:w="356"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r>
              <w:rPr>
                <w:rFonts w:ascii="宋体" w:hAnsi="宋体" w:cs="宋体" w:hint="eastAsia"/>
                <w:kern w:val="0"/>
                <w:sz w:val="20"/>
                <w:szCs w:val="20"/>
              </w:rPr>
              <w:t xml:space="preserve">　</w:t>
            </w: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w:t>
            </w:r>
          </w:p>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指标</w:t>
            </w:r>
            <w:r>
              <w:rPr>
                <w:rFonts w:ascii="宋体" w:hAnsi="宋体" w:cs="宋体" w:hint="eastAsia"/>
                <w:kern w:val="0"/>
                <w:sz w:val="20"/>
                <w:szCs w:val="20"/>
              </w:rPr>
              <w:t xml:space="preserve">　</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预算数（万元）</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执行数（万元）</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预算执行率</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分值</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得分</w:t>
            </w:r>
          </w:p>
        </w:tc>
        <w:tc>
          <w:tcPr>
            <w:tcW w:w="67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指标解释</w:t>
            </w:r>
          </w:p>
        </w:tc>
        <w:tc>
          <w:tcPr>
            <w:tcW w:w="99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评分标准</w:t>
            </w:r>
          </w:p>
        </w:tc>
      </w:tr>
      <w:tr w:rsidR="00D7341F" w:rsidTr="00D7341F">
        <w:trPr>
          <w:trHeight w:val="1550"/>
        </w:trPr>
        <w:tc>
          <w:tcPr>
            <w:tcW w:w="356"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当年预算执行情况（20）</w:t>
            </w: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资金</w:t>
            </w:r>
          </w:p>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总体</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53,159.77</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49,260.29</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9</w:t>
            </w:r>
            <w:r>
              <w:rPr>
                <w:rFonts w:ascii="宋体" w:hAnsi="宋体" w:cs="宋体"/>
                <w:kern w:val="0"/>
                <w:sz w:val="20"/>
                <w:szCs w:val="20"/>
              </w:rPr>
              <w:t>2.66</w:t>
            </w:r>
            <w:r>
              <w:rPr>
                <w:rFonts w:ascii="仿宋_GB2312" w:eastAsia="仿宋_GB2312" w:hint="eastAsia"/>
                <w:sz w:val="20"/>
                <w:szCs w:val="20"/>
              </w:rPr>
              <w:t>%</w:t>
            </w:r>
          </w:p>
        </w:tc>
        <w:tc>
          <w:tcPr>
            <w:tcW w:w="275" w:type="pct"/>
            <w:vMerge w:val="restar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20</w:t>
            </w:r>
          </w:p>
        </w:tc>
        <w:tc>
          <w:tcPr>
            <w:tcW w:w="273" w:type="pct"/>
            <w:vMerge w:val="restar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18.</w:t>
            </w:r>
            <w:r>
              <w:rPr>
                <w:rFonts w:ascii="宋体" w:hAnsi="宋体" w:cs="宋体"/>
                <w:kern w:val="0"/>
                <w:sz w:val="20"/>
                <w:szCs w:val="20"/>
              </w:rPr>
              <w:t>53</w:t>
            </w:r>
          </w:p>
        </w:tc>
        <w:tc>
          <w:tcPr>
            <w:tcW w:w="678" w:type="pct"/>
            <w:vMerge w:val="restar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部门全年执行数与全年预算数的比率。资金总体=基本支出+项目支出+其他</w:t>
            </w:r>
          </w:p>
        </w:tc>
        <w:tc>
          <w:tcPr>
            <w:tcW w:w="999" w:type="pct"/>
            <w:vMerge w:val="restar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①得分一档最高不能超过该指标分值上限（20分）。</w:t>
            </w:r>
          </w:p>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D7341F" w:rsidTr="00D7341F">
        <w:trPr>
          <w:trHeight w:val="828"/>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基本</w:t>
            </w:r>
          </w:p>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支出</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11,059.33</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10,056.84</w:t>
            </w:r>
          </w:p>
        </w:tc>
        <w:tc>
          <w:tcPr>
            <w:tcW w:w="1138"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w:t>
            </w:r>
          </w:p>
        </w:tc>
        <w:tc>
          <w:tcPr>
            <w:tcW w:w="275" w:type="pct"/>
            <w:vMerge/>
            <w:vAlign w:val="center"/>
          </w:tcPr>
          <w:p w:rsidR="00D7341F" w:rsidRDefault="00D7341F" w:rsidP="00D7341F">
            <w:pPr>
              <w:widowControl/>
              <w:jc w:val="left"/>
              <w:rPr>
                <w:rFonts w:ascii="宋体" w:hAnsi="宋体" w:cs="宋体"/>
                <w:kern w:val="0"/>
                <w:sz w:val="20"/>
                <w:szCs w:val="20"/>
              </w:rPr>
            </w:pPr>
          </w:p>
        </w:tc>
        <w:tc>
          <w:tcPr>
            <w:tcW w:w="273" w:type="pct"/>
            <w:vMerge/>
            <w:vAlign w:val="center"/>
          </w:tcPr>
          <w:p w:rsidR="00D7341F" w:rsidRDefault="00D7341F" w:rsidP="00D7341F">
            <w:pPr>
              <w:widowControl/>
              <w:jc w:val="left"/>
              <w:rPr>
                <w:rFonts w:ascii="宋体" w:hAnsi="宋体" w:cs="宋体"/>
                <w:kern w:val="0"/>
                <w:sz w:val="20"/>
                <w:szCs w:val="20"/>
              </w:rPr>
            </w:pP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766"/>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项目</w:t>
            </w:r>
          </w:p>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支出</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42,100.44</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39,203.45</w:t>
            </w:r>
          </w:p>
        </w:tc>
        <w:tc>
          <w:tcPr>
            <w:tcW w:w="1138" w:type="pct"/>
            <w:vMerge/>
            <w:vAlign w:val="center"/>
          </w:tcPr>
          <w:p w:rsidR="00D7341F" w:rsidRDefault="00D7341F" w:rsidP="00D7341F">
            <w:pPr>
              <w:widowControl/>
              <w:jc w:val="left"/>
              <w:rPr>
                <w:rFonts w:ascii="宋体" w:hAnsi="宋体" w:cs="宋体"/>
                <w:kern w:val="0"/>
                <w:sz w:val="20"/>
                <w:szCs w:val="20"/>
              </w:rPr>
            </w:pPr>
          </w:p>
        </w:tc>
        <w:tc>
          <w:tcPr>
            <w:tcW w:w="275" w:type="pct"/>
            <w:vMerge/>
            <w:vAlign w:val="center"/>
          </w:tcPr>
          <w:p w:rsidR="00D7341F" w:rsidRDefault="00D7341F" w:rsidP="00D7341F">
            <w:pPr>
              <w:widowControl/>
              <w:jc w:val="left"/>
              <w:rPr>
                <w:rFonts w:ascii="宋体" w:hAnsi="宋体" w:cs="宋体"/>
                <w:kern w:val="0"/>
                <w:sz w:val="20"/>
                <w:szCs w:val="20"/>
              </w:rPr>
            </w:pPr>
          </w:p>
        </w:tc>
        <w:tc>
          <w:tcPr>
            <w:tcW w:w="273" w:type="pct"/>
            <w:vMerge/>
            <w:vAlign w:val="center"/>
          </w:tcPr>
          <w:p w:rsidR="00D7341F" w:rsidRDefault="00D7341F" w:rsidP="00D7341F">
            <w:pPr>
              <w:widowControl/>
              <w:jc w:val="left"/>
              <w:rPr>
                <w:rFonts w:ascii="宋体" w:hAnsi="宋体" w:cs="宋体"/>
                <w:kern w:val="0"/>
                <w:sz w:val="20"/>
                <w:szCs w:val="20"/>
              </w:rPr>
            </w:pP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348"/>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其他</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138" w:type="pct"/>
            <w:vMerge/>
            <w:vAlign w:val="center"/>
          </w:tcPr>
          <w:p w:rsidR="00D7341F" w:rsidRDefault="00D7341F" w:rsidP="00D7341F">
            <w:pPr>
              <w:widowControl/>
              <w:jc w:val="left"/>
              <w:rPr>
                <w:rFonts w:ascii="宋体" w:hAnsi="宋体" w:cs="宋体"/>
                <w:kern w:val="0"/>
                <w:sz w:val="20"/>
                <w:szCs w:val="20"/>
              </w:rPr>
            </w:pPr>
          </w:p>
        </w:tc>
        <w:tc>
          <w:tcPr>
            <w:tcW w:w="275" w:type="pct"/>
            <w:vMerge/>
            <w:vAlign w:val="center"/>
          </w:tcPr>
          <w:p w:rsidR="00D7341F" w:rsidRDefault="00D7341F" w:rsidP="00D7341F">
            <w:pPr>
              <w:widowControl/>
              <w:jc w:val="left"/>
              <w:rPr>
                <w:rFonts w:ascii="宋体" w:hAnsi="宋体" w:cs="宋体"/>
                <w:kern w:val="0"/>
                <w:sz w:val="20"/>
                <w:szCs w:val="20"/>
              </w:rPr>
            </w:pPr>
          </w:p>
        </w:tc>
        <w:tc>
          <w:tcPr>
            <w:tcW w:w="273" w:type="pct"/>
            <w:vMerge/>
            <w:vAlign w:val="center"/>
          </w:tcPr>
          <w:p w:rsidR="00D7341F" w:rsidRDefault="00D7341F" w:rsidP="00D7341F">
            <w:pPr>
              <w:widowControl/>
              <w:jc w:val="left"/>
              <w:rPr>
                <w:rFonts w:ascii="宋体" w:hAnsi="宋体" w:cs="宋体"/>
                <w:kern w:val="0"/>
                <w:sz w:val="20"/>
                <w:szCs w:val="20"/>
              </w:rPr>
            </w:pP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833"/>
        </w:trPr>
        <w:tc>
          <w:tcPr>
            <w:tcW w:w="5000" w:type="pct"/>
            <w:gridSpan w:val="9"/>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二</w:t>
            </w:r>
            <w:r>
              <w:rPr>
                <w:rFonts w:ascii="宋体" w:hAnsi="宋体" w:cs="宋体"/>
                <w:kern w:val="0"/>
                <w:sz w:val="18"/>
                <w:szCs w:val="18"/>
              </w:rPr>
              <w:t>、</w:t>
            </w:r>
            <w:r>
              <w:rPr>
                <w:rFonts w:ascii="宋体" w:hAnsi="宋体" w:cs="宋体" w:hint="eastAsia"/>
                <w:kern w:val="0"/>
                <w:sz w:val="20"/>
                <w:szCs w:val="20"/>
              </w:rPr>
              <w:t>整体绩效目标实现情况（60分）</w:t>
            </w:r>
          </w:p>
        </w:tc>
      </w:tr>
      <w:tr w:rsidR="00D7341F" w:rsidTr="00D7341F">
        <w:trPr>
          <w:trHeight w:val="844"/>
        </w:trPr>
        <w:tc>
          <w:tcPr>
            <w:tcW w:w="356"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w:t>
            </w:r>
          </w:p>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指标</w:t>
            </w: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w:t>
            </w:r>
          </w:p>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指标</w:t>
            </w:r>
            <w:r>
              <w:rPr>
                <w:rFonts w:ascii="宋体" w:hAnsi="宋体" w:cs="宋体" w:hint="eastAsia"/>
                <w:kern w:val="0"/>
                <w:sz w:val="20"/>
                <w:szCs w:val="20"/>
              </w:rPr>
              <w:t xml:space="preserve">　</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r>
              <w:rPr>
                <w:rFonts w:ascii="宋体" w:hAnsi="宋体" w:cs="宋体" w:hint="eastAsia"/>
                <w:kern w:val="0"/>
                <w:sz w:val="20"/>
                <w:szCs w:val="20"/>
              </w:rPr>
              <w:t xml:space="preserve">　</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指标值</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完成值</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分值</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得分</w:t>
            </w:r>
          </w:p>
        </w:tc>
        <w:tc>
          <w:tcPr>
            <w:tcW w:w="678" w:type="pct"/>
            <w:vAlign w:val="center"/>
          </w:tcPr>
          <w:p w:rsidR="00D7341F" w:rsidRDefault="00D7341F" w:rsidP="00D7341F">
            <w:pPr>
              <w:widowControl/>
              <w:jc w:val="center"/>
              <w:rPr>
                <w:rFonts w:ascii="宋体" w:hAnsi="宋体" w:cs="宋体"/>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999" w:type="pct"/>
            <w:vAlign w:val="center"/>
          </w:tcPr>
          <w:p w:rsidR="00D7341F" w:rsidRDefault="00D7341F" w:rsidP="00D7341F">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D7341F" w:rsidTr="00D7341F">
        <w:trPr>
          <w:trHeight w:val="1408"/>
        </w:trPr>
        <w:tc>
          <w:tcPr>
            <w:tcW w:w="356" w:type="pct"/>
            <w:vMerge w:val="restart"/>
            <w:vAlign w:val="center"/>
          </w:tcPr>
          <w:p w:rsidR="00D7341F" w:rsidRDefault="00D7341F" w:rsidP="00D7341F">
            <w:pPr>
              <w:widowControl/>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整体绩效目标实现情况（60）</w:t>
            </w: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tc>
        <w:tc>
          <w:tcPr>
            <w:tcW w:w="309" w:type="pct"/>
            <w:vMerge w:val="restart"/>
            <w:vAlign w:val="center"/>
          </w:tcPr>
          <w:p w:rsidR="00D7341F" w:rsidRDefault="00D7341F" w:rsidP="00D7341F">
            <w:pPr>
              <w:widowControl/>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产出（30）</w:t>
            </w: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jc w:val="center"/>
              <w:rPr>
                <w:rFonts w:ascii="宋体" w:hAnsi="宋体" w:cs="宋体"/>
                <w:kern w:val="0"/>
                <w:sz w:val="20"/>
                <w:szCs w:val="20"/>
              </w:rPr>
            </w:pPr>
          </w:p>
          <w:p w:rsidR="00D7341F" w:rsidRDefault="00D7341F" w:rsidP="00D7341F">
            <w:pPr>
              <w:rPr>
                <w:rFonts w:ascii="宋体" w:hAnsi="宋体" w:cs="宋体"/>
                <w:kern w:val="0"/>
                <w:sz w:val="20"/>
                <w:szCs w:val="20"/>
              </w:rPr>
            </w:pPr>
          </w:p>
        </w:tc>
        <w:tc>
          <w:tcPr>
            <w:tcW w:w="381" w:type="pct"/>
            <w:vMerge w:val="restar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lastRenderedPageBreak/>
              <w:t>产出数量</w:t>
            </w: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落实精品创作发展相关任务6个</w:t>
            </w:r>
          </w:p>
        </w:tc>
        <w:tc>
          <w:tcPr>
            <w:tcW w:w="1138"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6个精品创作任务保质保量全部完成，提升了优质内容创作生产能力，推动精品创作高质量发展。</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restar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产出数量</w:t>
            </w:r>
            <w:r>
              <w:rPr>
                <w:rFonts w:ascii="宋体" w:hAnsi="宋体" w:cs="宋体" w:hint="eastAsia"/>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kern w:val="0"/>
                <w:sz w:val="18"/>
                <w:szCs w:val="18"/>
              </w:rPr>
              <w:t>产出质量</w:t>
            </w:r>
            <w:r>
              <w:rPr>
                <w:rFonts w:ascii="宋体" w:hAnsi="宋体" w:cs="宋体" w:hint="eastAsia"/>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kern w:val="0"/>
                <w:sz w:val="18"/>
                <w:szCs w:val="18"/>
              </w:rPr>
              <w:t>产出进度：</w:t>
            </w:r>
            <w:r>
              <w:rPr>
                <w:rFonts w:ascii="宋体" w:hAnsi="宋体" w:cs="宋体" w:hint="eastAsia"/>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kern w:val="0"/>
                <w:sz w:val="18"/>
                <w:szCs w:val="18"/>
              </w:rPr>
              <w:t>产出成本</w:t>
            </w:r>
            <w:r>
              <w:rPr>
                <w:rFonts w:ascii="宋体" w:hAnsi="宋体" w:cs="宋体" w:hint="eastAsia"/>
                <w:kern w:val="0"/>
                <w:sz w:val="18"/>
                <w:szCs w:val="18"/>
              </w:rPr>
              <w:t>：单位产出相对于上一年度的节约额；②单位产出相对于市场同类产出的节约额；③部门公用经费的控制情况。</w:t>
            </w:r>
          </w:p>
          <w:p w:rsidR="00D7341F" w:rsidRDefault="00D7341F" w:rsidP="00D7341F">
            <w:pPr>
              <w:widowControl/>
              <w:jc w:val="left"/>
              <w:rPr>
                <w:rFonts w:ascii="宋体" w:hAnsi="宋体" w:cs="宋体"/>
                <w:b/>
                <w:bCs/>
                <w:kern w:val="0"/>
                <w:sz w:val="18"/>
                <w:szCs w:val="18"/>
              </w:rPr>
            </w:pPr>
          </w:p>
          <w:p w:rsidR="00D7341F" w:rsidRDefault="00D7341F" w:rsidP="00D7341F">
            <w:pPr>
              <w:widowControl/>
              <w:jc w:val="left"/>
              <w:rPr>
                <w:rFonts w:ascii="宋体" w:hAnsi="宋体" w:cs="宋体"/>
                <w:kern w:val="0"/>
                <w:sz w:val="18"/>
                <w:szCs w:val="18"/>
              </w:rPr>
            </w:pPr>
          </w:p>
        </w:tc>
        <w:tc>
          <w:tcPr>
            <w:tcW w:w="999" w:type="pct"/>
            <w:vMerge w:val="restart"/>
            <w:vAlign w:val="center"/>
          </w:tcPr>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部门根据本单位情况自行确定并选择产出指标，合理确定各项指标权重。可量化的指标按照比率*单项指标分值即为该指标得分。如果不能定量评价，则以定性的方式进行自评。</w:t>
            </w: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p>
        </w:tc>
      </w:tr>
      <w:tr w:rsidR="00D7341F" w:rsidTr="00D7341F">
        <w:trPr>
          <w:trHeight w:val="981"/>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开展好既定品牌活动8个</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成功举办5个品牌活动；另外3个品牌活动全部筹备完成，因疫情影响，无法实际开展。</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2.9</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981"/>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确保5</w:t>
            </w:r>
            <w:r>
              <w:rPr>
                <w:rFonts w:ascii="宋体" w:hAnsi="宋体" w:cs="宋体"/>
                <w:kern w:val="0"/>
                <w:sz w:val="20"/>
                <w:szCs w:val="20"/>
              </w:rPr>
              <w:t>71</w:t>
            </w:r>
            <w:r>
              <w:rPr>
                <w:rFonts w:ascii="宋体" w:hAnsi="宋体" w:cs="宋体" w:hint="eastAsia"/>
                <w:kern w:val="0"/>
                <w:sz w:val="20"/>
                <w:szCs w:val="20"/>
              </w:rPr>
              <w:t>个行政村发射站点安全正常运行</w:t>
            </w:r>
          </w:p>
        </w:tc>
        <w:tc>
          <w:tcPr>
            <w:tcW w:w="1138" w:type="pct"/>
            <w:vAlign w:val="center"/>
          </w:tcPr>
          <w:p w:rsidR="00D7341F" w:rsidRDefault="00D7341F" w:rsidP="00D7341F">
            <w:pPr>
              <w:widowControl/>
              <w:rPr>
                <w:rFonts w:ascii="宋体" w:hAnsi="宋体" w:cs="宋体"/>
                <w:kern w:val="0"/>
                <w:sz w:val="20"/>
                <w:szCs w:val="20"/>
              </w:rPr>
            </w:pPr>
            <w:r>
              <w:rPr>
                <w:rFonts w:ascii="宋体" w:hAnsi="宋体" w:cs="宋体" w:hint="eastAsia"/>
                <w:kern w:val="0"/>
                <w:sz w:val="20"/>
                <w:szCs w:val="20"/>
              </w:rPr>
              <w:t>5</w:t>
            </w:r>
            <w:r>
              <w:rPr>
                <w:rFonts w:ascii="宋体" w:hAnsi="宋体" w:cs="宋体"/>
                <w:kern w:val="0"/>
                <w:sz w:val="20"/>
                <w:szCs w:val="20"/>
              </w:rPr>
              <w:t>71</w:t>
            </w:r>
            <w:r>
              <w:rPr>
                <w:rFonts w:ascii="宋体" w:hAnsi="宋体" w:cs="宋体" w:hint="eastAsia"/>
                <w:kern w:val="0"/>
                <w:sz w:val="20"/>
                <w:szCs w:val="20"/>
              </w:rPr>
              <w:t>个行政村发射站点运行维护工作全部完成，设备运行安全、性能稳定，实现了广播电视信号的有效传输。</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981"/>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开展视听零距离公务服务活动1项，推进公共服务向基层下沉</w:t>
            </w:r>
            <w:r>
              <w:rPr>
                <w:rFonts w:ascii="宋体" w:hAnsi="宋体" w:cs="宋体"/>
                <w:kern w:val="0"/>
                <w:sz w:val="20"/>
                <w:szCs w:val="20"/>
              </w:rPr>
              <w:t xml:space="preserve"> </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完成视听零距离公务服务活动1项，打通公共文化服务最后一公里，增强群众的文化参与感、获得感、幸福感。</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842"/>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严格落实视听行业监测监管工作任务5个</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5个视听行业监测监管工作任务全部完成，安全播出和广播电视监测任务圆满完成，夯实安全播出基础。</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536"/>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restar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产出质量</w:t>
            </w: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强化阵地意识，做好理论武装和舆论引导，为党的二十大胜利召开营造良好舆论氛围</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围绕重大时间节点，强化正面宣传引导，聚焦主题主线舆论宣传，提高广播电视和网络视听舆论引导力。</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842"/>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聚焦主题，讴歌时代，以“北京模式”扶持引导内容创作生产，推出精品力作奉献人民</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成功举办党的二十大胜利闭幕后影视行业具有全国影响力的第一场文化盛事，推出精品力作奉献人民，取得“四个第一”的成绩，精品创作保持全国领先水平，满足人民文化需求。</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624"/>
        </w:trPr>
        <w:tc>
          <w:tcPr>
            <w:tcW w:w="356" w:type="pct"/>
            <w:vMerge/>
            <w:vAlign w:val="center"/>
          </w:tcPr>
          <w:p w:rsidR="00D7341F" w:rsidRDefault="00D7341F" w:rsidP="00D7341F">
            <w:pPr>
              <w:widowControl/>
              <w:jc w:val="center"/>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jc w:val="center"/>
              <w:rPr>
                <w:rFonts w:ascii="宋体" w:hAnsi="宋体" w:cs="宋体"/>
                <w:kern w:val="0"/>
                <w:sz w:val="20"/>
                <w:szCs w:val="20"/>
              </w:rPr>
            </w:pPr>
          </w:p>
        </w:tc>
        <w:tc>
          <w:tcPr>
            <w:tcW w:w="591"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统筹使用好智慧广电、媒体融合、8K等专项扶持资金，促进技术迭代升级</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统筹使用好专项扶持资金，优化配置行业科技资源，提升科技创新能力，推动广播电视网络视听产业升级，带动行业强劲发展势头。</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b/>
                <w:bCs/>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419"/>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产出进度</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kern w:val="0"/>
                <w:sz w:val="20"/>
                <w:szCs w:val="20"/>
              </w:rPr>
              <w:t>2</w:t>
            </w:r>
            <w:r>
              <w:rPr>
                <w:rFonts w:ascii="宋体" w:hAnsi="宋体" w:cs="宋体" w:hint="eastAsia"/>
                <w:kern w:val="0"/>
                <w:sz w:val="20"/>
                <w:szCs w:val="20"/>
              </w:rPr>
              <w:t>月内完成全年工作任务</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kern w:val="0"/>
                <w:sz w:val="20"/>
                <w:szCs w:val="20"/>
              </w:rPr>
              <w:t>2</w:t>
            </w:r>
            <w:r>
              <w:rPr>
                <w:rFonts w:ascii="宋体" w:hAnsi="宋体" w:cs="宋体" w:hint="eastAsia"/>
                <w:kern w:val="0"/>
                <w:sz w:val="20"/>
                <w:szCs w:val="20"/>
              </w:rPr>
              <w:t>月内基本完成全年工作任务，个别受疫情影响无法开展。</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3</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2</w:t>
            </w:r>
            <w:r>
              <w:rPr>
                <w:rFonts w:ascii="宋体" w:hAnsi="宋体" w:cs="宋体"/>
                <w:kern w:val="0"/>
                <w:sz w:val="20"/>
                <w:szCs w:val="20"/>
              </w:rPr>
              <w:t>.9</w:t>
            </w:r>
            <w:r>
              <w:rPr>
                <w:rFonts w:ascii="宋体" w:hAnsi="宋体" w:cs="宋体" w:hint="eastAsia"/>
                <w:kern w:val="0"/>
                <w:sz w:val="20"/>
                <w:szCs w:val="20"/>
              </w:rPr>
              <w:t xml:space="preserve">　</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975"/>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产出成本</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严格控制支出成本，充分发挥财政资金效能</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严格在预算范围内支出，严禁无预算和超预算支出，实现了财政资金的提质增效。</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3</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361"/>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restart"/>
            <w:vAlign w:val="center"/>
          </w:tcPr>
          <w:p w:rsidR="00D7341F" w:rsidRDefault="00D7341F" w:rsidP="00D7341F">
            <w:pPr>
              <w:widowControl/>
              <w:rPr>
                <w:rFonts w:ascii="宋体" w:hAnsi="宋体" w:cs="宋体"/>
                <w:kern w:val="0"/>
                <w:sz w:val="20"/>
                <w:szCs w:val="20"/>
              </w:rPr>
            </w:pPr>
          </w:p>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效果（30）</w:t>
            </w: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p w:rsidR="00D7341F" w:rsidRDefault="00D7341F" w:rsidP="00D7341F">
            <w:pPr>
              <w:widowControl/>
              <w:rPr>
                <w:rFonts w:ascii="宋体" w:hAnsi="宋体" w:cs="宋体"/>
                <w:kern w:val="0"/>
                <w:sz w:val="20"/>
                <w:szCs w:val="20"/>
              </w:rPr>
            </w:pPr>
          </w:p>
        </w:tc>
        <w:tc>
          <w:tcPr>
            <w:tcW w:w="381"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社会效益</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以人民为中心，惠民利民便民，构建覆盖全社会的公共文化服务体系</w:t>
            </w:r>
          </w:p>
        </w:tc>
        <w:tc>
          <w:tcPr>
            <w:tcW w:w="1138"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以更优的服务、更精准的对接满足人民文化需求，实现公共文化服务高质量供给，不断增强人民群众的幸福感、获得感。</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5</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w:t>
            </w:r>
          </w:p>
        </w:tc>
        <w:tc>
          <w:tcPr>
            <w:tcW w:w="678" w:type="pct"/>
            <w:vMerge w:val="restart"/>
            <w:vAlign w:val="center"/>
          </w:tcPr>
          <w:p w:rsidR="00D7341F" w:rsidRDefault="00D7341F" w:rsidP="00D7341F">
            <w:pPr>
              <w:widowControl/>
              <w:jc w:val="left"/>
              <w:rPr>
                <w:rFonts w:ascii="宋体" w:hAnsi="宋体" w:cs="宋体"/>
                <w:kern w:val="0"/>
                <w:sz w:val="18"/>
                <w:szCs w:val="18"/>
              </w:rPr>
            </w:pPr>
          </w:p>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经济效益</w:t>
            </w:r>
            <w:r>
              <w:rPr>
                <w:rFonts w:ascii="宋体" w:hAnsi="宋体" w:cs="宋体" w:hint="eastAsia"/>
                <w:kern w:val="0"/>
                <w:sz w:val="18"/>
                <w:szCs w:val="18"/>
              </w:rPr>
              <w:t>：部门（单位）履行职责对经济发展所带来的直接或间接影响。</w:t>
            </w:r>
            <w:r>
              <w:rPr>
                <w:rFonts w:ascii="宋体" w:hAnsi="宋体" w:cs="宋体" w:hint="eastAsia"/>
                <w:b/>
                <w:bCs/>
                <w:kern w:val="0"/>
                <w:sz w:val="18"/>
                <w:szCs w:val="18"/>
              </w:rPr>
              <w:t>社会效益</w:t>
            </w:r>
            <w:r>
              <w:rPr>
                <w:rFonts w:ascii="宋体" w:hAnsi="宋体" w:cs="宋体" w:hint="eastAsia"/>
                <w:kern w:val="0"/>
                <w:sz w:val="18"/>
                <w:szCs w:val="18"/>
              </w:rPr>
              <w:t>：部门（单位）履行职责对社会发展所带来的直接或间接影响。</w:t>
            </w:r>
            <w:r>
              <w:rPr>
                <w:rFonts w:ascii="宋体" w:hAnsi="宋体" w:cs="宋体" w:hint="eastAsia"/>
                <w:b/>
                <w:bCs/>
                <w:kern w:val="0"/>
                <w:sz w:val="18"/>
                <w:szCs w:val="18"/>
              </w:rPr>
              <w:t>环境效益</w:t>
            </w:r>
            <w:r>
              <w:rPr>
                <w:rFonts w:ascii="宋体" w:hAnsi="宋体" w:cs="宋体" w:hint="eastAsia"/>
                <w:kern w:val="0"/>
                <w:sz w:val="18"/>
                <w:szCs w:val="18"/>
              </w:rPr>
              <w:t>：部门（单位）履行职责对环境所带来的直接或间接影响。</w:t>
            </w:r>
            <w:r>
              <w:rPr>
                <w:rFonts w:ascii="宋体" w:hAnsi="宋体" w:cs="宋体" w:hint="eastAsia"/>
                <w:b/>
                <w:bCs/>
                <w:kern w:val="0"/>
                <w:sz w:val="18"/>
                <w:szCs w:val="18"/>
              </w:rPr>
              <w:t>可持续性影响：</w:t>
            </w:r>
            <w:r>
              <w:rPr>
                <w:rFonts w:ascii="宋体" w:hAnsi="宋体" w:cs="宋体" w:hint="eastAsia"/>
                <w:kern w:val="0"/>
                <w:sz w:val="18"/>
                <w:szCs w:val="18"/>
              </w:rPr>
              <w:t>部门绩效目标实现的长效机制建设情况，部门工作效率提升措施的创新。</w:t>
            </w:r>
            <w:r>
              <w:rPr>
                <w:rFonts w:ascii="宋体" w:hAnsi="宋体" w:cs="宋体" w:hint="eastAsia"/>
                <w:b/>
                <w:bCs/>
                <w:kern w:val="0"/>
                <w:sz w:val="18"/>
                <w:szCs w:val="18"/>
              </w:rPr>
              <w:t>服务对象满意度</w:t>
            </w:r>
            <w:r>
              <w:rPr>
                <w:rFonts w:ascii="宋体" w:hAnsi="宋体" w:cs="宋体" w:hint="eastAsia"/>
                <w:kern w:val="0"/>
                <w:sz w:val="18"/>
                <w:szCs w:val="18"/>
              </w:rPr>
              <w:t>：部门（单位）的服务对象对部门履职效果的</w:t>
            </w:r>
            <w:r>
              <w:rPr>
                <w:rFonts w:ascii="宋体" w:hAnsi="宋体" w:cs="宋体" w:hint="eastAsia"/>
                <w:kern w:val="0"/>
                <w:sz w:val="18"/>
                <w:szCs w:val="18"/>
              </w:rPr>
              <w:lastRenderedPageBreak/>
              <w:t>满意程度。</w:t>
            </w:r>
          </w:p>
        </w:tc>
        <w:tc>
          <w:tcPr>
            <w:tcW w:w="999" w:type="pct"/>
            <w:vMerge w:val="restar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lastRenderedPageBreak/>
              <w:t>部门根据实际情况选择指标进行填写，并将其细化为相应的个性化指标。对于效益类指标可从受益对象瞄准度、受益广度和受益深度上进行设计分析。</w:t>
            </w:r>
          </w:p>
        </w:tc>
      </w:tr>
      <w:tr w:rsidR="00D7341F" w:rsidTr="00D7341F">
        <w:trPr>
          <w:trHeight w:val="1321"/>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center"/>
              <w:rPr>
                <w:rFonts w:ascii="宋体" w:hAnsi="宋体" w:cs="宋体"/>
                <w:kern w:val="0"/>
                <w:sz w:val="20"/>
                <w:szCs w:val="20"/>
              </w:rPr>
            </w:pPr>
          </w:p>
        </w:tc>
        <w:tc>
          <w:tcPr>
            <w:tcW w:w="381" w:type="pct"/>
            <w:vMerge/>
            <w:vAlign w:val="center"/>
          </w:tcPr>
          <w:p w:rsidR="00D7341F" w:rsidRDefault="00D7341F" w:rsidP="00D7341F">
            <w:pPr>
              <w:widowControl/>
              <w:jc w:val="center"/>
              <w:rPr>
                <w:rFonts w:ascii="宋体" w:hAnsi="宋体" w:cs="宋体"/>
                <w:kern w:val="0"/>
                <w:sz w:val="20"/>
                <w:szCs w:val="20"/>
              </w:rPr>
            </w:pP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讲好中国故事、北京故事，努力肩负起广播电视网络视听国际传播的重要责任</w:t>
            </w:r>
          </w:p>
        </w:tc>
        <w:tc>
          <w:tcPr>
            <w:tcW w:w="1138" w:type="pct"/>
            <w:vAlign w:val="center"/>
          </w:tcPr>
          <w:p w:rsidR="00D7341F" w:rsidRDefault="00D7341F" w:rsidP="00D7341F">
            <w:pPr>
              <w:jc w:val="center"/>
              <w:rPr>
                <w:rFonts w:ascii="宋体" w:hAnsi="宋体" w:cs="宋体"/>
                <w:kern w:val="0"/>
                <w:sz w:val="20"/>
                <w:szCs w:val="20"/>
              </w:rPr>
            </w:pPr>
            <w:r>
              <w:rPr>
                <w:rFonts w:ascii="宋体" w:hAnsi="宋体" w:cs="宋体" w:hint="eastAsia"/>
                <w:kern w:val="0"/>
                <w:sz w:val="20"/>
                <w:szCs w:val="20"/>
              </w:rPr>
              <w:t>持续广泛开展广电领域国际传播与合作，不断提升国际传播力影响力，肩负起广播电视网络视听国际传播的重要责任。</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5</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699"/>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可持续影响指标</w:t>
            </w:r>
          </w:p>
          <w:p w:rsidR="00D7341F" w:rsidRDefault="00D7341F" w:rsidP="00D7341F">
            <w:pPr>
              <w:widowControl/>
              <w:jc w:val="center"/>
              <w:rPr>
                <w:rFonts w:ascii="宋体" w:hAnsi="宋体" w:cs="宋体"/>
                <w:kern w:val="0"/>
                <w:sz w:val="20"/>
                <w:szCs w:val="20"/>
              </w:rPr>
            </w:pP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节节相接，会会相融，持续激发广播电视网络视听品牌活动优势</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打造广播电视网络视听品牌活动新视听矩阵，打造产业高质量发展的风向标，扩大北京视听会展活动品牌影响力，不断释放行业动能和发展活力。</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650"/>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Merge/>
            <w:vAlign w:val="center"/>
          </w:tcPr>
          <w:p w:rsidR="00D7341F" w:rsidRDefault="00D7341F" w:rsidP="00D7341F">
            <w:pPr>
              <w:widowControl/>
              <w:jc w:val="center"/>
              <w:rPr>
                <w:rFonts w:ascii="宋体" w:hAnsi="宋体" w:cs="宋体"/>
                <w:kern w:val="0"/>
                <w:sz w:val="20"/>
                <w:szCs w:val="20"/>
              </w:rPr>
            </w:pP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引导行业抢占先进技术的制高点，示范、带动视听产业化、产业视听化模式不断升级</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聚焦视听产业，坚持创新引领，发挥首都数字经济先发优势，加快推进广播电视智慧化升级，为北京广播电视和网络视听行业科技发展提供创新驱动力。</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5</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5</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1522"/>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服务对象满意度指标</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项目服务对象满意度不低于90%</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财政投入资金在三个方面实现了服务对象满意。一是人民满意，二是服务对象满意，项目平均满意度96%，三是领导肯定，各级领导对我局承办的多项工作给予肯定表扬。</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10</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10</w:t>
            </w:r>
          </w:p>
        </w:tc>
        <w:tc>
          <w:tcPr>
            <w:tcW w:w="678" w:type="pct"/>
            <w:vMerge/>
            <w:vAlign w:val="center"/>
          </w:tcPr>
          <w:p w:rsidR="00D7341F" w:rsidRDefault="00D7341F" w:rsidP="00D7341F">
            <w:pPr>
              <w:widowControl/>
              <w:jc w:val="left"/>
              <w:rPr>
                <w:rFonts w:ascii="宋体" w:hAnsi="宋体" w:cs="宋体"/>
                <w:kern w:val="0"/>
                <w:sz w:val="18"/>
                <w:szCs w:val="18"/>
              </w:rPr>
            </w:pPr>
          </w:p>
        </w:tc>
        <w:tc>
          <w:tcPr>
            <w:tcW w:w="999" w:type="pct"/>
            <w:vMerge/>
            <w:vAlign w:val="center"/>
          </w:tcPr>
          <w:p w:rsidR="00D7341F" w:rsidRDefault="00D7341F" w:rsidP="00D7341F">
            <w:pPr>
              <w:widowControl/>
              <w:jc w:val="left"/>
              <w:rPr>
                <w:rFonts w:ascii="宋体" w:hAnsi="宋体" w:cs="宋体"/>
                <w:kern w:val="0"/>
                <w:sz w:val="18"/>
                <w:szCs w:val="18"/>
              </w:rPr>
            </w:pPr>
          </w:p>
        </w:tc>
      </w:tr>
      <w:tr w:rsidR="00D7341F" w:rsidTr="00D7341F">
        <w:trPr>
          <w:trHeight w:val="849"/>
        </w:trPr>
        <w:tc>
          <w:tcPr>
            <w:tcW w:w="5000" w:type="pct"/>
            <w:gridSpan w:val="9"/>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三</w:t>
            </w:r>
            <w:r>
              <w:rPr>
                <w:rFonts w:ascii="宋体" w:hAnsi="宋体" w:cs="宋体"/>
                <w:kern w:val="0"/>
                <w:sz w:val="18"/>
                <w:szCs w:val="18"/>
              </w:rPr>
              <w:t>、</w:t>
            </w:r>
            <w:r>
              <w:rPr>
                <w:rFonts w:ascii="宋体" w:hAnsi="宋体" w:cs="宋体" w:hint="eastAsia"/>
                <w:kern w:val="0"/>
                <w:sz w:val="20"/>
                <w:szCs w:val="20"/>
              </w:rPr>
              <w:t>预算管理情况（20分）</w:t>
            </w:r>
          </w:p>
        </w:tc>
      </w:tr>
      <w:tr w:rsidR="00D7341F" w:rsidTr="00D7341F">
        <w:trPr>
          <w:trHeight w:val="702"/>
        </w:trPr>
        <w:tc>
          <w:tcPr>
            <w:tcW w:w="356"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级指标</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值</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完成</w:t>
            </w:r>
            <w:r>
              <w:rPr>
                <w:rFonts w:ascii="宋体" w:hAnsi="宋体" w:cs="宋体"/>
                <w:kern w:val="0"/>
                <w:sz w:val="20"/>
                <w:szCs w:val="20"/>
              </w:rPr>
              <w:t>值</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分</w:t>
            </w:r>
            <w:r>
              <w:rPr>
                <w:rFonts w:ascii="宋体" w:hAnsi="宋体" w:cs="宋体"/>
                <w:kern w:val="0"/>
                <w:sz w:val="20"/>
                <w:szCs w:val="20"/>
              </w:rPr>
              <w:t>值</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得</w:t>
            </w:r>
            <w:r>
              <w:rPr>
                <w:rFonts w:ascii="宋体" w:hAnsi="宋体" w:cs="宋体"/>
                <w:kern w:val="0"/>
                <w:sz w:val="20"/>
                <w:szCs w:val="20"/>
              </w:rPr>
              <w:t>分</w:t>
            </w:r>
          </w:p>
        </w:tc>
        <w:tc>
          <w:tcPr>
            <w:tcW w:w="678" w:type="pct"/>
            <w:vAlign w:val="center"/>
          </w:tcPr>
          <w:p w:rsidR="00D7341F" w:rsidRDefault="00D7341F" w:rsidP="00D7341F">
            <w:pPr>
              <w:widowControl/>
              <w:jc w:val="center"/>
              <w:rPr>
                <w:rFonts w:ascii="宋体" w:hAnsi="宋体" w:cs="宋体"/>
                <w:b/>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999" w:type="pct"/>
            <w:vAlign w:val="center"/>
          </w:tcPr>
          <w:p w:rsidR="00D7341F" w:rsidRDefault="00D7341F" w:rsidP="00D7341F">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D7341F" w:rsidTr="00D7341F">
        <w:trPr>
          <w:trHeight w:val="1230"/>
        </w:trPr>
        <w:tc>
          <w:tcPr>
            <w:tcW w:w="356"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预算管理情况（20）</w:t>
            </w:r>
          </w:p>
        </w:tc>
        <w:tc>
          <w:tcPr>
            <w:tcW w:w="309" w:type="pct"/>
            <w:vMerge w:val="restar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财务管理（4）</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财务管理制度健全性</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财务管理制度健全、完整、合</w:t>
            </w:r>
            <w:proofErr w:type="gramStart"/>
            <w:r>
              <w:rPr>
                <w:rFonts w:ascii="宋体" w:hAnsi="宋体" w:cs="宋体" w:hint="eastAsia"/>
                <w:kern w:val="0"/>
                <w:sz w:val="20"/>
                <w:szCs w:val="20"/>
              </w:rPr>
              <w:t>规</w:t>
            </w:r>
            <w:proofErr w:type="gramEnd"/>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一是预算资金管理办法、绩效跟踪管理办法、资产管理办法等各项制度健全，二是部门内部财务管理制度完整、合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，三是会计核算制度完整、合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 xml:space="preserve">。　</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财务管理制度健全性:</w:t>
            </w:r>
            <w:r>
              <w:rPr>
                <w:rFonts w:ascii="宋体" w:hAnsi="宋体" w:cs="宋体" w:hint="eastAsia"/>
                <w:kern w:val="0"/>
                <w:sz w:val="18"/>
                <w:szCs w:val="18"/>
              </w:rPr>
              <w:t>部门（单位）为加强财务管理、规范财务行为而制定的管理制度。</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；③会计核算制度是否完整、合</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。每有一项不合格扣0.5分，扣完为止。</w:t>
            </w:r>
          </w:p>
        </w:tc>
      </w:tr>
      <w:tr w:rsidR="00D7341F" w:rsidTr="00D7341F">
        <w:trPr>
          <w:trHeight w:val="2220"/>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资金使用合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性和安全性</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按照财务管理制度的规定开支，开支范围符合规定</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是依法依规使用资金。严格按照国家财经法规、财务管理制度规定、专项资金管理办法等规定使用资金，按规定的结算方式进行结算。二是强化资金使用审批。大额资金支出经过评估论证，资金拨付有完整的审批程序和手续。三是规范资金使用过程管理。严格按照预算批复用途使用资金，政府采购应采尽采，不存在截留、挤占、挪用、虚列支出。</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2</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　2</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资金使用合</w:t>
            </w:r>
            <w:proofErr w:type="gramStart"/>
            <w:r>
              <w:rPr>
                <w:rFonts w:ascii="宋体" w:hAnsi="宋体" w:cs="宋体" w:hint="eastAsia"/>
                <w:b/>
                <w:bCs/>
                <w:kern w:val="0"/>
                <w:sz w:val="18"/>
                <w:szCs w:val="18"/>
              </w:rPr>
              <w:t>规</w:t>
            </w:r>
            <w:proofErr w:type="gramEnd"/>
            <w:r>
              <w:rPr>
                <w:rFonts w:ascii="宋体" w:hAnsi="宋体" w:cs="宋体" w:hint="eastAsia"/>
                <w:b/>
                <w:bCs/>
                <w:kern w:val="0"/>
                <w:sz w:val="18"/>
                <w:szCs w:val="18"/>
              </w:rPr>
              <w:t>性和安全性:</w:t>
            </w:r>
            <w:r>
              <w:rPr>
                <w:rFonts w:ascii="宋体" w:hAnsi="宋体" w:cs="宋体" w:hint="eastAsia"/>
                <w:kern w:val="0"/>
                <w:sz w:val="18"/>
                <w:szCs w:val="18"/>
              </w:rPr>
              <w:t>部门（单位）使用预算资金是否符合相关的预算财务管理制度的规定，是否符合相关规定的开支范围，用以反映考核部门（单位）预算资金的规范运行和安全运行情况。</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D7341F" w:rsidTr="00D7341F">
        <w:trPr>
          <w:trHeight w:val="416"/>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Merge/>
            <w:vAlign w:val="center"/>
          </w:tcPr>
          <w:p w:rsidR="00D7341F" w:rsidRDefault="00D7341F" w:rsidP="00D7341F">
            <w:pPr>
              <w:widowControl/>
              <w:jc w:val="left"/>
              <w:rPr>
                <w:rFonts w:ascii="宋体" w:hAnsi="宋体" w:cs="宋体"/>
                <w:kern w:val="0"/>
                <w:sz w:val="20"/>
                <w:szCs w:val="20"/>
              </w:rPr>
            </w:pP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会计基础信息完善性</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会计基础信息真实、完整、准确　</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基础数据信息和会计信息资料真实，基础数据信息和会计信息资料完整，基础数据信息和会计信息资料准确。</w:t>
            </w:r>
          </w:p>
        </w:tc>
        <w:tc>
          <w:tcPr>
            <w:tcW w:w="275"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w:t>
            </w:r>
          </w:p>
        </w:tc>
        <w:tc>
          <w:tcPr>
            <w:tcW w:w="273" w:type="pct"/>
            <w:noWrap/>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会计基础信息完善性:</w:t>
            </w:r>
            <w:r>
              <w:rPr>
                <w:rFonts w:ascii="宋体" w:hAnsi="宋体" w:cs="宋体" w:hint="eastAsia"/>
                <w:kern w:val="0"/>
                <w:sz w:val="18"/>
                <w:szCs w:val="18"/>
              </w:rPr>
              <w:t>部门（单位）会计基础信息情况。</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①基础数据信息和会计信息资料是否真实；②基础数据信息和会计信息资料是否完整；③基础数据信息和会计信息资料是否准确。每有一项不合格扣0.5分，扣完为止。</w:t>
            </w:r>
          </w:p>
        </w:tc>
      </w:tr>
      <w:tr w:rsidR="00D7341F" w:rsidTr="00D7341F">
        <w:trPr>
          <w:trHeight w:val="2117"/>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资产管理（4）</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资产管理规范性</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资产安全完整、合理配置、使用和处置规范</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一是强化资产管理，严格按照固定资产管理制度规定执行，不存在管理不当导致的严重资产损失。二是规范资产使用，定期开展资产清查，不存在未经批准擅自出租出借行为。三是规范资产处置，不存在不按要求进行报批或资产不公开处置行为。</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4</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3.2</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资产管理规范性:</w:t>
            </w:r>
            <w:r>
              <w:rPr>
                <w:rFonts w:ascii="宋体" w:hAnsi="宋体" w:cs="宋体" w:hint="eastAsia"/>
                <w:kern w:val="0"/>
                <w:sz w:val="18"/>
                <w:szCs w:val="18"/>
              </w:rPr>
              <w:t>部门（单位）的资产是否保持安全完整，资产配置是否合理，资产使用和资产处理是否规范，用以反映和考核部门（单位）资产管理的整体水平。</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D7341F" w:rsidTr="00D7341F">
        <w:trPr>
          <w:trHeight w:val="558"/>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绩效管理（4）</w:t>
            </w:r>
          </w:p>
        </w:tc>
        <w:tc>
          <w:tcPr>
            <w:tcW w:w="38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绩效管理情况</w:t>
            </w:r>
          </w:p>
        </w:tc>
        <w:tc>
          <w:tcPr>
            <w:tcW w:w="591"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及时对绩效信息进行汇总整理，对绩效目标偏离及时矫正</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严格落实绩效管理相关要求，加强绩效管理信息的汇总和应用，深化全流程绩效监控，按月对绩效监控信息进行收集、审核、分析、汇总，对发现的问题和风险进行</w:t>
            </w:r>
            <w:proofErr w:type="gramStart"/>
            <w:r>
              <w:rPr>
                <w:rFonts w:ascii="宋体" w:hAnsi="宋体" w:cs="宋体" w:hint="eastAsia"/>
                <w:kern w:val="0"/>
                <w:sz w:val="20"/>
                <w:szCs w:val="20"/>
              </w:rPr>
              <w:t>研</w:t>
            </w:r>
            <w:proofErr w:type="gramEnd"/>
            <w:r>
              <w:rPr>
                <w:rFonts w:ascii="宋体" w:hAnsi="宋体" w:cs="宋体" w:hint="eastAsia"/>
                <w:kern w:val="0"/>
                <w:sz w:val="20"/>
                <w:szCs w:val="20"/>
              </w:rPr>
              <w:t>判，及时纠偏。</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4</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b/>
                <w:bCs/>
                <w:kern w:val="0"/>
                <w:sz w:val="18"/>
                <w:szCs w:val="18"/>
              </w:rPr>
              <w:t>绩效管理情况:</w:t>
            </w:r>
            <w:r>
              <w:rPr>
                <w:rFonts w:ascii="宋体" w:hAnsi="宋体" w:cs="宋体" w:hint="eastAsia"/>
                <w:kern w:val="0"/>
                <w:sz w:val="18"/>
                <w:szCs w:val="18"/>
              </w:rPr>
              <w:t>考核部门（单位）在绩效管理信息的汇总和应用情况。</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①部门（单位）是否及时对绩效信息进行汇总分析整理；②部门（单位）是否对绩效目标偏离情况及时进行矫正。每有一项不合格扣2分。</w:t>
            </w:r>
          </w:p>
        </w:tc>
      </w:tr>
      <w:tr w:rsidR="00D7341F" w:rsidTr="00D7341F">
        <w:trPr>
          <w:trHeight w:val="488"/>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指标　</w:t>
            </w:r>
          </w:p>
        </w:tc>
        <w:tc>
          <w:tcPr>
            <w:tcW w:w="972" w:type="pct"/>
            <w:gridSpan w:val="2"/>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202</w:t>
            </w:r>
            <w:r>
              <w:rPr>
                <w:rFonts w:ascii="宋体" w:hAnsi="宋体" w:cs="宋体"/>
                <w:kern w:val="0"/>
                <w:sz w:val="20"/>
                <w:szCs w:val="20"/>
              </w:rPr>
              <w:t>1</w:t>
            </w:r>
            <w:r>
              <w:rPr>
                <w:rFonts w:ascii="宋体" w:hAnsi="宋体" w:cs="宋体" w:hint="eastAsia"/>
                <w:kern w:val="0"/>
                <w:sz w:val="20"/>
                <w:szCs w:val="20"/>
              </w:rPr>
              <w:t>年</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202</w:t>
            </w:r>
            <w:r>
              <w:rPr>
                <w:rFonts w:ascii="宋体" w:hAnsi="宋体" w:cs="宋体"/>
                <w:kern w:val="0"/>
                <w:sz w:val="20"/>
                <w:szCs w:val="20"/>
              </w:rPr>
              <w:t>2</w:t>
            </w:r>
            <w:r>
              <w:rPr>
                <w:rFonts w:ascii="宋体" w:hAnsi="宋体" w:cs="宋体" w:hint="eastAsia"/>
                <w:kern w:val="0"/>
                <w:sz w:val="20"/>
                <w:szCs w:val="20"/>
              </w:rPr>
              <w:t>年</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分值</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得分</w:t>
            </w:r>
          </w:p>
        </w:tc>
        <w:tc>
          <w:tcPr>
            <w:tcW w:w="67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bCs/>
                <w:kern w:val="0"/>
                <w:sz w:val="18"/>
                <w:szCs w:val="18"/>
              </w:rPr>
              <w:t>指标</w:t>
            </w:r>
            <w:r>
              <w:rPr>
                <w:rFonts w:ascii="宋体" w:hAnsi="宋体" w:cs="宋体"/>
                <w:bCs/>
                <w:kern w:val="0"/>
                <w:sz w:val="18"/>
                <w:szCs w:val="18"/>
              </w:rPr>
              <w:t>解释</w:t>
            </w:r>
          </w:p>
        </w:tc>
        <w:tc>
          <w:tcPr>
            <w:tcW w:w="999" w:type="pct"/>
            <w:vAlign w:val="center"/>
          </w:tcPr>
          <w:p w:rsidR="00D7341F" w:rsidRDefault="00D7341F" w:rsidP="00D7341F">
            <w:pPr>
              <w:widowControl/>
              <w:jc w:val="center"/>
              <w:rPr>
                <w:rFonts w:eastAsia="Times New Roman"/>
                <w:kern w:val="0"/>
                <w:sz w:val="20"/>
                <w:szCs w:val="20"/>
              </w:rPr>
            </w:pPr>
            <w:r>
              <w:rPr>
                <w:rFonts w:ascii="宋体" w:hAnsi="宋体" w:cs="宋体" w:hint="eastAsia"/>
                <w:kern w:val="0"/>
                <w:sz w:val="18"/>
                <w:szCs w:val="18"/>
              </w:rPr>
              <w:t>评</w:t>
            </w:r>
            <w:r>
              <w:rPr>
                <w:rFonts w:ascii="宋体" w:hAnsi="宋体" w:cs="宋体"/>
                <w:kern w:val="0"/>
                <w:sz w:val="18"/>
                <w:szCs w:val="18"/>
              </w:rPr>
              <w:t>分标准</w:t>
            </w:r>
          </w:p>
        </w:tc>
      </w:tr>
      <w:tr w:rsidR="00D7341F" w:rsidTr="00D7341F">
        <w:trPr>
          <w:trHeight w:val="1702"/>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rPr>
                <w:rFonts w:ascii="宋体" w:hAnsi="宋体" w:cs="宋体"/>
                <w:kern w:val="0"/>
                <w:sz w:val="20"/>
                <w:szCs w:val="20"/>
              </w:rPr>
            </w:pPr>
            <w:r>
              <w:rPr>
                <w:rFonts w:ascii="宋体" w:hAnsi="宋体" w:cs="宋体" w:hint="eastAsia"/>
                <w:kern w:val="0"/>
                <w:sz w:val="20"/>
                <w:szCs w:val="20"/>
              </w:rPr>
              <w:t>结转结余率（4）</w:t>
            </w:r>
          </w:p>
        </w:tc>
        <w:tc>
          <w:tcPr>
            <w:tcW w:w="972" w:type="pct"/>
            <w:gridSpan w:val="2"/>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8.36</w:t>
            </w:r>
            <w:r>
              <w:rPr>
                <w:rFonts w:ascii="宋体" w:hAnsi="宋体" w:cs="宋体" w:hint="eastAsia"/>
                <w:kern w:val="0"/>
                <w:sz w:val="20"/>
                <w:szCs w:val="20"/>
              </w:rPr>
              <w:t>%</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kern w:val="0"/>
                <w:sz w:val="20"/>
                <w:szCs w:val="20"/>
              </w:rPr>
              <w:t>7.</w:t>
            </w:r>
            <w:r>
              <w:rPr>
                <w:rFonts w:ascii="宋体" w:hAnsi="宋体" w:cs="宋体"/>
                <w:kern w:val="0"/>
                <w:sz w:val="20"/>
                <w:szCs w:val="20"/>
                <w:lang w:val="en"/>
              </w:rPr>
              <w:t>34</w:t>
            </w:r>
            <w:r>
              <w:rPr>
                <w:rFonts w:ascii="宋体" w:hAnsi="宋体" w:cs="宋体" w:hint="eastAsia"/>
                <w:kern w:val="0"/>
                <w:sz w:val="20"/>
                <w:szCs w:val="20"/>
              </w:rPr>
              <w:t xml:space="preserve">%　</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4</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结转结余率=结转结余总额/支出预算数×100%。</w:t>
            </w:r>
          </w:p>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结转结余总额：部门（单位）本年度的结转资金与结余资金之</w:t>
            </w:r>
            <w:proofErr w:type="gramStart"/>
            <w:r>
              <w:rPr>
                <w:rFonts w:ascii="宋体" w:hAnsi="宋体" w:cs="宋体" w:hint="eastAsia"/>
                <w:kern w:val="0"/>
                <w:sz w:val="18"/>
                <w:szCs w:val="18"/>
              </w:rPr>
              <w:t>和</w:t>
            </w:r>
            <w:proofErr w:type="gramEnd"/>
            <w:r>
              <w:rPr>
                <w:rFonts w:ascii="宋体" w:hAnsi="宋体" w:cs="宋体" w:hint="eastAsia"/>
                <w:kern w:val="0"/>
                <w:sz w:val="18"/>
                <w:szCs w:val="18"/>
              </w:rPr>
              <w:t>。</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kern w:val="0"/>
                <w:sz w:val="18"/>
                <w:szCs w:val="18"/>
              </w:rPr>
              <w:t>非预算</w:t>
            </w:r>
            <w:proofErr w:type="gramEnd"/>
            <w:r>
              <w:rPr>
                <w:rFonts w:ascii="宋体" w:hAnsi="宋体" w:cs="宋体" w:hint="eastAsia"/>
                <w:kern w:val="0"/>
                <w:sz w:val="18"/>
                <w:szCs w:val="18"/>
              </w:rPr>
              <w:t>部门主观因素导致扣分的，在评分结果征求意见环节，经与相关部门预算主管处室共同研究，可作为例外情况酌情考虑。）</w:t>
            </w:r>
          </w:p>
        </w:tc>
      </w:tr>
      <w:tr w:rsidR="00D7341F" w:rsidTr="00D7341F">
        <w:trPr>
          <w:trHeight w:val="90"/>
        </w:trPr>
        <w:tc>
          <w:tcPr>
            <w:tcW w:w="356" w:type="pct"/>
            <w:vMerge/>
            <w:vAlign w:val="center"/>
          </w:tcPr>
          <w:p w:rsidR="00D7341F" w:rsidRDefault="00D7341F" w:rsidP="00D7341F">
            <w:pPr>
              <w:widowControl/>
              <w:jc w:val="left"/>
              <w:rPr>
                <w:rFonts w:ascii="宋体" w:hAnsi="宋体" w:cs="宋体"/>
                <w:kern w:val="0"/>
                <w:sz w:val="20"/>
                <w:szCs w:val="20"/>
              </w:rPr>
            </w:pPr>
          </w:p>
        </w:tc>
        <w:tc>
          <w:tcPr>
            <w:tcW w:w="309" w:type="pct"/>
            <w:vAlign w:val="center"/>
          </w:tcPr>
          <w:p w:rsidR="00D7341F" w:rsidRDefault="00D7341F" w:rsidP="00D7341F">
            <w:pPr>
              <w:widowControl/>
              <w:rPr>
                <w:rFonts w:ascii="宋体" w:hAnsi="宋体" w:cs="宋体"/>
                <w:kern w:val="0"/>
                <w:sz w:val="20"/>
                <w:szCs w:val="20"/>
              </w:rPr>
            </w:pPr>
            <w:r>
              <w:rPr>
                <w:rFonts w:ascii="宋体" w:hAnsi="宋体" w:cs="宋体" w:hint="eastAsia"/>
                <w:kern w:val="0"/>
                <w:sz w:val="20"/>
                <w:szCs w:val="20"/>
              </w:rPr>
              <w:t>部门预决算差异率（4）</w:t>
            </w:r>
          </w:p>
        </w:tc>
        <w:tc>
          <w:tcPr>
            <w:tcW w:w="972" w:type="pct"/>
            <w:gridSpan w:val="2"/>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w:t>
            </w:r>
          </w:p>
        </w:tc>
        <w:tc>
          <w:tcPr>
            <w:tcW w:w="1138"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6</w:t>
            </w:r>
            <w:r>
              <w:rPr>
                <w:rFonts w:ascii="宋体" w:hAnsi="宋体" w:cs="宋体"/>
                <w:kern w:val="0"/>
                <w:sz w:val="20"/>
                <w:szCs w:val="20"/>
              </w:rPr>
              <w:t>.11%</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4</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678"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通过年度部门决算与年初部门预算对比，对部门的年度支出情况进行考核，衡量部门预算的约束力。</w:t>
            </w:r>
          </w:p>
        </w:tc>
        <w:tc>
          <w:tcPr>
            <w:tcW w:w="999" w:type="pct"/>
            <w:vAlign w:val="center"/>
          </w:tcPr>
          <w:p w:rsidR="00D7341F" w:rsidRDefault="00D7341F" w:rsidP="00D7341F">
            <w:pPr>
              <w:widowControl/>
              <w:jc w:val="left"/>
              <w:rPr>
                <w:rFonts w:ascii="宋体" w:hAnsi="宋体" w:cs="宋体"/>
                <w:kern w:val="0"/>
                <w:sz w:val="18"/>
                <w:szCs w:val="18"/>
              </w:rPr>
            </w:pPr>
            <w:r>
              <w:rPr>
                <w:rFonts w:ascii="宋体" w:hAnsi="宋体" w:cs="宋体" w:hint="eastAsia"/>
                <w:kern w:val="0"/>
                <w:sz w:val="18"/>
                <w:szCs w:val="18"/>
              </w:rPr>
              <w:t>部门预决算差异率高于市级平均差异率（28.3%）的，每高出10%（含），扣0.4分，扣完为止。</w:t>
            </w:r>
          </w:p>
        </w:tc>
      </w:tr>
      <w:tr w:rsidR="00D7341F" w:rsidTr="00D7341F">
        <w:trPr>
          <w:trHeight w:val="437"/>
        </w:trPr>
        <w:tc>
          <w:tcPr>
            <w:tcW w:w="2775" w:type="pct"/>
            <w:gridSpan w:val="5"/>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合计</w:t>
            </w:r>
          </w:p>
        </w:tc>
        <w:tc>
          <w:tcPr>
            <w:tcW w:w="275"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100</w:t>
            </w:r>
          </w:p>
        </w:tc>
        <w:tc>
          <w:tcPr>
            <w:tcW w:w="273" w:type="pct"/>
            <w:vAlign w:val="center"/>
          </w:tcPr>
          <w:p w:rsidR="00D7341F" w:rsidRDefault="00D7341F" w:rsidP="00D7341F">
            <w:pPr>
              <w:widowControl/>
              <w:jc w:val="center"/>
              <w:rPr>
                <w:rFonts w:ascii="宋体" w:hAnsi="宋体" w:cs="宋体"/>
                <w:kern w:val="0"/>
                <w:sz w:val="20"/>
                <w:szCs w:val="20"/>
              </w:rPr>
            </w:pPr>
            <w:r>
              <w:rPr>
                <w:rFonts w:ascii="宋体" w:hAnsi="宋体" w:cs="宋体" w:hint="eastAsia"/>
                <w:kern w:val="0"/>
                <w:sz w:val="20"/>
                <w:szCs w:val="20"/>
              </w:rPr>
              <w:t>9</w:t>
            </w:r>
            <w:r>
              <w:rPr>
                <w:rFonts w:ascii="宋体" w:hAnsi="宋体" w:cs="宋体"/>
                <w:kern w:val="0"/>
                <w:sz w:val="20"/>
                <w:szCs w:val="20"/>
              </w:rPr>
              <w:t>7.53</w:t>
            </w:r>
            <w:r>
              <w:rPr>
                <w:rFonts w:ascii="宋体" w:hAnsi="宋体" w:cs="宋体" w:hint="eastAsia"/>
                <w:kern w:val="0"/>
                <w:sz w:val="20"/>
                <w:szCs w:val="20"/>
              </w:rPr>
              <w:t xml:space="preserve">　</w:t>
            </w:r>
          </w:p>
        </w:tc>
        <w:tc>
          <w:tcPr>
            <w:tcW w:w="1677" w:type="pct"/>
            <w:gridSpan w:val="2"/>
            <w:vAlign w:val="center"/>
          </w:tcPr>
          <w:p w:rsidR="00D7341F" w:rsidRDefault="00D7341F" w:rsidP="00D7341F">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rsidR="00712025" w:rsidRDefault="00712025">
      <w:pPr>
        <w:spacing w:line="560" w:lineRule="exact"/>
        <w:rPr>
          <w:sz w:val="28"/>
          <w:szCs w:val="28"/>
        </w:rPr>
      </w:pPr>
    </w:p>
    <w:p w:rsidR="00712025" w:rsidRDefault="00712025"/>
    <w:p w:rsidR="00712025" w:rsidRDefault="00712025">
      <w:pPr>
        <w:pBdr>
          <w:bottom w:val="single" w:sz="4" w:space="31" w:color="FFFFFF"/>
        </w:pBdr>
        <w:adjustRightInd w:val="0"/>
        <w:snapToGrid w:val="0"/>
        <w:spacing w:line="560" w:lineRule="exact"/>
        <w:ind w:firstLineChars="200" w:firstLine="640"/>
        <w:rPr>
          <w:rFonts w:ascii="仿宋_GB2312" w:eastAsia="仿宋_GB2312"/>
          <w:sz w:val="32"/>
          <w:szCs w:val="32"/>
        </w:rPr>
      </w:pPr>
    </w:p>
    <w:sectPr w:rsidR="0071202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C22" w:rsidRDefault="00015C22">
      <w:r>
        <w:separator/>
      </w:r>
    </w:p>
  </w:endnote>
  <w:endnote w:type="continuationSeparator" w:id="0">
    <w:p w:rsidR="00015C22" w:rsidRDefault="0001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EDB34D5-53F3-48B2-A912-E39EDBAF3B5F}"/>
    <w:embedBold r:id="rId2" w:subsetted="1" w:fontKey="{7AA36104-E719-44A9-A9A1-DEA147AFBA27}"/>
  </w:font>
  <w:font w:name="等线">
    <w:altName w:val="宋体"/>
    <w:charset w:val="86"/>
    <w:family w:val="auto"/>
    <w:pitch w:val="default"/>
    <w:sig w:usb0="00000000" w:usb1="00000000"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3" w:subsetted="1" w:fontKey="{B8E74505-DCEF-4115-8832-8C4AF6321518}"/>
  </w:font>
  <w:font w:name="黑体">
    <w:altName w:val="SimHei"/>
    <w:panose1 w:val="02010609060101010101"/>
    <w:charset w:val="86"/>
    <w:family w:val="modern"/>
    <w:pitch w:val="fixed"/>
    <w:sig w:usb0="800002BF" w:usb1="38CF7CFA" w:usb2="00000016" w:usb3="00000000" w:csb0="00040001" w:csb1="00000000"/>
    <w:embedRegular r:id="rId4" w:subsetted="1" w:fontKey="{5144D096-08E0-475E-9F04-0424FFE28D8A}"/>
  </w:font>
  <w:font w:name="楷体">
    <w:panose1 w:val="02010609060101010101"/>
    <w:charset w:val="86"/>
    <w:family w:val="modern"/>
    <w:pitch w:val="fixed"/>
    <w:sig w:usb0="800002BF" w:usb1="38CF7CFA" w:usb2="00000016" w:usb3="00000000" w:csb0="00040001" w:csb1="00000000"/>
    <w:embedRegular r:id="rId5" w:subsetted="1" w:fontKey="{EF09FB28-CF07-4D9F-84FB-21981A9BF354}"/>
  </w:font>
  <w:font w:name="仿宋">
    <w:panose1 w:val="02010609060101010101"/>
    <w:charset w:val="86"/>
    <w:family w:val="modern"/>
    <w:pitch w:val="fixed"/>
    <w:sig w:usb0="800002BF" w:usb1="38CF7CFA" w:usb2="00000016" w:usb3="00000000" w:csb0="00040001" w:csb1="00000000"/>
    <w:embedRegular r:id="rId6" w:subsetted="1" w:fontKey="{0D8C323C-2086-441F-B2E0-F3CE59294F00}"/>
  </w:font>
  <w:font w:name="楷体_GB2312">
    <w:altName w:val="楷体"/>
    <w:charset w:val="86"/>
    <w:family w:val="modern"/>
    <w:pitch w:val="default"/>
    <w:sig w:usb0="00000001" w:usb1="080E0000" w:usb2="00000000" w:usb3="00000000" w:csb0="00040000"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965793"/>
    </w:sdtPr>
    <w:sdtEndPr>
      <w:rPr>
        <w:rFonts w:ascii="宋体" w:eastAsia="宋体" w:hAnsi="宋体"/>
      </w:rPr>
    </w:sdtEndPr>
    <w:sdtContent>
      <w:p w:rsidR="00712025" w:rsidRDefault="0019271A">
        <w:pPr>
          <w:pStyle w:val="a5"/>
          <w:jc w:val="center"/>
          <w:rPr>
            <w:rFonts w:ascii="宋体" w:eastAsia="宋体" w:hAnsi="宋体"/>
          </w:rPr>
        </w:pPr>
        <w:r>
          <w:rPr>
            <w:rFonts w:ascii="宋体" w:eastAsia="宋体" w:hAnsi="宋体"/>
          </w:rPr>
          <w:fldChar w:fldCharType="begin"/>
        </w:r>
        <w:r>
          <w:rPr>
            <w:rFonts w:ascii="宋体" w:eastAsia="宋体" w:hAnsi="宋体"/>
          </w:rPr>
          <w:instrText>PAGE   \* MERGEFORMAT</w:instrText>
        </w:r>
        <w:r>
          <w:rPr>
            <w:rFonts w:ascii="宋体" w:eastAsia="宋体" w:hAnsi="宋体"/>
          </w:rPr>
          <w:fldChar w:fldCharType="separate"/>
        </w:r>
        <w:r w:rsidR="00D7341F" w:rsidRPr="00D7341F">
          <w:rPr>
            <w:rFonts w:ascii="宋体" w:eastAsia="宋体" w:hAnsi="宋体"/>
            <w:noProof/>
            <w:lang w:val="zh-CN"/>
          </w:rPr>
          <w:t>19</w:t>
        </w:r>
        <w:r>
          <w:rPr>
            <w:rFonts w:ascii="宋体" w:eastAsia="宋体" w:hAnsi="宋体"/>
          </w:rPr>
          <w:fldChar w:fldCharType="end"/>
        </w:r>
      </w:p>
    </w:sdtContent>
  </w:sdt>
  <w:p w:rsidR="00712025" w:rsidRDefault="007120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C22" w:rsidRDefault="00015C22">
      <w:r>
        <w:separator/>
      </w:r>
    </w:p>
  </w:footnote>
  <w:footnote w:type="continuationSeparator" w:id="0">
    <w:p w:rsidR="00015C22" w:rsidRDefault="00015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3B186"/>
    <w:multiLevelType w:val="singleLevel"/>
    <w:tmpl w:val="A613B186"/>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JjMDY2MTE1NzYyNmU2YmUwNWMwZmU1OTM0YjJkNjQifQ=="/>
  </w:docVars>
  <w:rsids>
    <w:rsidRoot w:val="005068E3"/>
    <w:rsid w:val="97A7FFC8"/>
    <w:rsid w:val="9E5F847D"/>
    <w:rsid w:val="9FE3854C"/>
    <w:rsid w:val="A27F41F3"/>
    <w:rsid w:val="A7CF3873"/>
    <w:rsid w:val="B7D9989B"/>
    <w:rsid w:val="B7F9096C"/>
    <w:rsid w:val="BDFDEA56"/>
    <w:rsid w:val="BF8F10AC"/>
    <w:rsid w:val="CB4F60CC"/>
    <w:rsid w:val="D2BEE888"/>
    <w:rsid w:val="D4DB27B6"/>
    <w:rsid w:val="D65F3681"/>
    <w:rsid w:val="D9DD88CB"/>
    <w:rsid w:val="DBBFB4A5"/>
    <w:rsid w:val="DBFE1307"/>
    <w:rsid w:val="DDDD05E5"/>
    <w:rsid w:val="DEF7E54B"/>
    <w:rsid w:val="DF355083"/>
    <w:rsid w:val="DFC74BD7"/>
    <w:rsid w:val="DFDBA380"/>
    <w:rsid w:val="E4DFDD65"/>
    <w:rsid w:val="E9833C4D"/>
    <w:rsid w:val="ED766CE8"/>
    <w:rsid w:val="EEFFA45A"/>
    <w:rsid w:val="EF77B142"/>
    <w:rsid w:val="EF7D9CFA"/>
    <w:rsid w:val="EFCA7F1B"/>
    <w:rsid w:val="F5CF34F6"/>
    <w:rsid w:val="F6BB8E58"/>
    <w:rsid w:val="F7BFF210"/>
    <w:rsid w:val="F8EFB4C9"/>
    <w:rsid w:val="FA7B7143"/>
    <w:rsid w:val="FB6CE3DC"/>
    <w:rsid w:val="FBB501B6"/>
    <w:rsid w:val="FBBFBF3D"/>
    <w:rsid w:val="FBDBE8B1"/>
    <w:rsid w:val="FBFBF0B0"/>
    <w:rsid w:val="FC7FCB35"/>
    <w:rsid w:val="FCBD1BCB"/>
    <w:rsid w:val="FCFFC96E"/>
    <w:rsid w:val="FD7BD045"/>
    <w:rsid w:val="FDBDA38F"/>
    <w:rsid w:val="FDE7E669"/>
    <w:rsid w:val="FE73913A"/>
    <w:rsid w:val="FE7FBE25"/>
    <w:rsid w:val="FE9395BE"/>
    <w:rsid w:val="FEBCFAE7"/>
    <w:rsid w:val="FEFF5319"/>
    <w:rsid w:val="FF67DBA8"/>
    <w:rsid w:val="FF7BDC12"/>
    <w:rsid w:val="FF7E1483"/>
    <w:rsid w:val="FFB569D3"/>
    <w:rsid w:val="FFE53FB7"/>
    <w:rsid w:val="FFEED5EC"/>
    <w:rsid w:val="FFF3772D"/>
    <w:rsid w:val="FFFA6F9A"/>
    <w:rsid w:val="00004673"/>
    <w:rsid w:val="000143C9"/>
    <w:rsid w:val="0001538F"/>
    <w:rsid w:val="00015C22"/>
    <w:rsid w:val="0001713D"/>
    <w:rsid w:val="00025F6B"/>
    <w:rsid w:val="00033F05"/>
    <w:rsid w:val="000343CC"/>
    <w:rsid w:val="00041C1A"/>
    <w:rsid w:val="00061F5D"/>
    <w:rsid w:val="00062298"/>
    <w:rsid w:val="00070B62"/>
    <w:rsid w:val="00082365"/>
    <w:rsid w:val="00083A88"/>
    <w:rsid w:val="000853D1"/>
    <w:rsid w:val="000875FE"/>
    <w:rsid w:val="00090373"/>
    <w:rsid w:val="000A1558"/>
    <w:rsid w:val="000A531A"/>
    <w:rsid w:val="000A575C"/>
    <w:rsid w:val="000A6B84"/>
    <w:rsid w:val="000B1311"/>
    <w:rsid w:val="000B38CC"/>
    <w:rsid w:val="000C024B"/>
    <w:rsid w:val="000C045A"/>
    <w:rsid w:val="000C3E91"/>
    <w:rsid w:val="000C4CE9"/>
    <w:rsid w:val="000D36E7"/>
    <w:rsid w:val="000D4D8E"/>
    <w:rsid w:val="000E07AC"/>
    <w:rsid w:val="000E4003"/>
    <w:rsid w:val="000F01F3"/>
    <w:rsid w:val="000F6EFB"/>
    <w:rsid w:val="00103B95"/>
    <w:rsid w:val="00104BBA"/>
    <w:rsid w:val="00105BF2"/>
    <w:rsid w:val="001070C4"/>
    <w:rsid w:val="00110449"/>
    <w:rsid w:val="00111C38"/>
    <w:rsid w:val="00114E66"/>
    <w:rsid w:val="00115DF6"/>
    <w:rsid w:val="00116D1B"/>
    <w:rsid w:val="001202A5"/>
    <w:rsid w:val="00120452"/>
    <w:rsid w:val="00130AB9"/>
    <w:rsid w:val="0013217C"/>
    <w:rsid w:val="00132D7B"/>
    <w:rsid w:val="001340F9"/>
    <w:rsid w:val="0013693E"/>
    <w:rsid w:val="00136DCF"/>
    <w:rsid w:val="00137C9C"/>
    <w:rsid w:val="00143C26"/>
    <w:rsid w:val="00151FFE"/>
    <w:rsid w:val="001550CF"/>
    <w:rsid w:val="0016077D"/>
    <w:rsid w:val="001718C7"/>
    <w:rsid w:val="001737AF"/>
    <w:rsid w:val="00173C3E"/>
    <w:rsid w:val="00175A01"/>
    <w:rsid w:val="0018629E"/>
    <w:rsid w:val="00186DA4"/>
    <w:rsid w:val="00190E0B"/>
    <w:rsid w:val="0019135A"/>
    <w:rsid w:val="001922A8"/>
    <w:rsid w:val="0019271A"/>
    <w:rsid w:val="00192725"/>
    <w:rsid w:val="001927C5"/>
    <w:rsid w:val="001A79B4"/>
    <w:rsid w:val="001B4EC9"/>
    <w:rsid w:val="001B4F59"/>
    <w:rsid w:val="001D0C66"/>
    <w:rsid w:val="001E3207"/>
    <w:rsid w:val="001E4963"/>
    <w:rsid w:val="001E5D73"/>
    <w:rsid w:val="001F2344"/>
    <w:rsid w:val="001F27CE"/>
    <w:rsid w:val="001F2B59"/>
    <w:rsid w:val="001F2E13"/>
    <w:rsid w:val="001F6753"/>
    <w:rsid w:val="00200038"/>
    <w:rsid w:val="00204172"/>
    <w:rsid w:val="0020517B"/>
    <w:rsid w:val="00213E2A"/>
    <w:rsid w:val="00220F73"/>
    <w:rsid w:val="002339E8"/>
    <w:rsid w:val="002375A3"/>
    <w:rsid w:val="002404B5"/>
    <w:rsid w:val="00245644"/>
    <w:rsid w:val="00256F62"/>
    <w:rsid w:val="00260725"/>
    <w:rsid w:val="00263C17"/>
    <w:rsid w:val="00270408"/>
    <w:rsid w:val="00271AC7"/>
    <w:rsid w:val="00275A80"/>
    <w:rsid w:val="00285F33"/>
    <w:rsid w:val="00287C1B"/>
    <w:rsid w:val="002A49B0"/>
    <w:rsid w:val="002B2749"/>
    <w:rsid w:val="002B2A69"/>
    <w:rsid w:val="002B3F71"/>
    <w:rsid w:val="002C0755"/>
    <w:rsid w:val="002C0EAB"/>
    <w:rsid w:val="002C45AB"/>
    <w:rsid w:val="002D2C09"/>
    <w:rsid w:val="002D5B43"/>
    <w:rsid w:val="002D7EFC"/>
    <w:rsid w:val="002E04D7"/>
    <w:rsid w:val="002E3594"/>
    <w:rsid w:val="002F172D"/>
    <w:rsid w:val="002F29B3"/>
    <w:rsid w:val="002F623B"/>
    <w:rsid w:val="00311123"/>
    <w:rsid w:val="003112B7"/>
    <w:rsid w:val="00311E5F"/>
    <w:rsid w:val="00325AC3"/>
    <w:rsid w:val="00325DD1"/>
    <w:rsid w:val="00327523"/>
    <w:rsid w:val="00330A08"/>
    <w:rsid w:val="0033238E"/>
    <w:rsid w:val="0034011A"/>
    <w:rsid w:val="0034541B"/>
    <w:rsid w:val="0034678E"/>
    <w:rsid w:val="00347C24"/>
    <w:rsid w:val="00351379"/>
    <w:rsid w:val="0035219B"/>
    <w:rsid w:val="00355513"/>
    <w:rsid w:val="003634A5"/>
    <w:rsid w:val="00363FD2"/>
    <w:rsid w:val="0036426E"/>
    <w:rsid w:val="00364652"/>
    <w:rsid w:val="00365933"/>
    <w:rsid w:val="003659DF"/>
    <w:rsid w:val="003670C5"/>
    <w:rsid w:val="003723C6"/>
    <w:rsid w:val="003734EF"/>
    <w:rsid w:val="003A6648"/>
    <w:rsid w:val="003A72AF"/>
    <w:rsid w:val="003A78CB"/>
    <w:rsid w:val="003B3902"/>
    <w:rsid w:val="003B3E93"/>
    <w:rsid w:val="003B50E3"/>
    <w:rsid w:val="003C0BFD"/>
    <w:rsid w:val="003C2445"/>
    <w:rsid w:val="003C2D73"/>
    <w:rsid w:val="003C34C2"/>
    <w:rsid w:val="003C5206"/>
    <w:rsid w:val="003C5365"/>
    <w:rsid w:val="003C738D"/>
    <w:rsid w:val="003C7AD4"/>
    <w:rsid w:val="003D0F52"/>
    <w:rsid w:val="003E095E"/>
    <w:rsid w:val="003E3E6C"/>
    <w:rsid w:val="003E52FD"/>
    <w:rsid w:val="003E7E23"/>
    <w:rsid w:val="003F6584"/>
    <w:rsid w:val="003F73D9"/>
    <w:rsid w:val="004008A9"/>
    <w:rsid w:val="004039D9"/>
    <w:rsid w:val="00407E28"/>
    <w:rsid w:val="00410EDE"/>
    <w:rsid w:val="00420753"/>
    <w:rsid w:val="004236DD"/>
    <w:rsid w:val="0042422E"/>
    <w:rsid w:val="004344FA"/>
    <w:rsid w:val="004359AB"/>
    <w:rsid w:val="00437D79"/>
    <w:rsid w:val="00446472"/>
    <w:rsid w:val="0045003B"/>
    <w:rsid w:val="00450464"/>
    <w:rsid w:val="0045434C"/>
    <w:rsid w:val="004545AE"/>
    <w:rsid w:val="00467785"/>
    <w:rsid w:val="00467C7A"/>
    <w:rsid w:val="0047787C"/>
    <w:rsid w:val="004819BD"/>
    <w:rsid w:val="0049159D"/>
    <w:rsid w:val="00491D1D"/>
    <w:rsid w:val="00495BE6"/>
    <w:rsid w:val="004A73D3"/>
    <w:rsid w:val="004A7C85"/>
    <w:rsid w:val="004B44AA"/>
    <w:rsid w:val="004B697A"/>
    <w:rsid w:val="004B742B"/>
    <w:rsid w:val="004C1912"/>
    <w:rsid w:val="004C34FA"/>
    <w:rsid w:val="004C37F4"/>
    <w:rsid w:val="004D06E1"/>
    <w:rsid w:val="004D3462"/>
    <w:rsid w:val="004D5E52"/>
    <w:rsid w:val="004D6E92"/>
    <w:rsid w:val="004E2744"/>
    <w:rsid w:val="004E42B5"/>
    <w:rsid w:val="004F09CF"/>
    <w:rsid w:val="004F2D33"/>
    <w:rsid w:val="004F5ED2"/>
    <w:rsid w:val="004F7D11"/>
    <w:rsid w:val="005068E3"/>
    <w:rsid w:val="00507FF5"/>
    <w:rsid w:val="005100D1"/>
    <w:rsid w:val="0051236E"/>
    <w:rsid w:val="005133E0"/>
    <w:rsid w:val="00520B93"/>
    <w:rsid w:val="005236BE"/>
    <w:rsid w:val="00527AD4"/>
    <w:rsid w:val="00531590"/>
    <w:rsid w:val="00535114"/>
    <w:rsid w:val="00542AA8"/>
    <w:rsid w:val="005455CD"/>
    <w:rsid w:val="00545826"/>
    <w:rsid w:val="0055721B"/>
    <w:rsid w:val="00566CE3"/>
    <w:rsid w:val="00571A18"/>
    <w:rsid w:val="00590A17"/>
    <w:rsid w:val="0059471B"/>
    <w:rsid w:val="005953E5"/>
    <w:rsid w:val="005A00BC"/>
    <w:rsid w:val="005A1C25"/>
    <w:rsid w:val="005A1E31"/>
    <w:rsid w:val="005A2B3C"/>
    <w:rsid w:val="005A421A"/>
    <w:rsid w:val="005B7913"/>
    <w:rsid w:val="005C09B5"/>
    <w:rsid w:val="005C4369"/>
    <w:rsid w:val="005C5098"/>
    <w:rsid w:val="005D0829"/>
    <w:rsid w:val="005D17CC"/>
    <w:rsid w:val="005E2734"/>
    <w:rsid w:val="005E5664"/>
    <w:rsid w:val="005E707B"/>
    <w:rsid w:val="005E77E3"/>
    <w:rsid w:val="005F3A42"/>
    <w:rsid w:val="005F3D51"/>
    <w:rsid w:val="006015D7"/>
    <w:rsid w:val="0060172D"/>
    <w:rsid w:val="00603F78"/>
    <w:rsid w:val="00605CF4"/>
    <w:rsid w:val="00606616"/>
    <w:rsid w:val="006211A1"/>
    <w:rsid w:val="00623A60"/>
    <w:rsid w:val="00626369"/>
    <w:rsid w:val="00632B60"/>
    <w:rsid w:val="00635A10"/>
    <w:rsid w:val="00640B10"/>
    <w:rsid w:val="00642D8E"/>
    <w:rsid w:val="00646602"/>
    <w:rsid w:val="00650DE2"/>
    <w:rsid w:val="00652F37"/>
    <w:rsid w:val="00654A8C"/>
    <w:rsid w:val="00655283"/>
    <w:rsid w:val="006621CE"/>
    <w:rsid w:val="0066255A"/>
    <w:rsid w:val="00664B7F"/>
    <w:rsid w:val="00665B14"/>
    <w:rsid w:val="00670A3F"/>
    <w:rsid w:val="006845CB"/>
    <w:rsid w:val="00691334"/>
    <w:rsid w:val="00692B2D"/>
    <w:rsid w:val="006979C9"/>
    <w:rsid w:val="006A33D1"/>
    <w:rsid w:val="006A3568"/>
    <w:rsid w:val="006B0088"/>
    <w:rsid w:val="006B0946"/>
    <w:rsid w:val="006B1A7B"/>
    <w:rsid w:val="006B480C"/>
    <w:rsid w:val="006B494E"/>
    <w:rsid w:val="006C05B8"/>
    <w:rsid w:val="006C17AC"/>
    <w:rsid w:val="006D2106"/>
    <w:rsid w:val="006D21B3"/>
    <w:rsid w:val="006E0981"/>
    <w:rsid w:val="006E1CFC"/>
    <w:rsid w:val="006E3B38"/>
    <w:rsid w:val="006E7D45"/>
    <w:rsid w:val="006F1662"/>
    <w:rsid w:val="006F708D"/>
    <w:rsid w:val="006F7180"/>
    <w:rsid w:val="00700B07"/>
    <w:rsid w:val="00701A5F"/>
    <w:rsid w:val="00704FA3"/>
    <w:rsid w:val="00712025"/>
    <w:rsid w:val="0071701B"/>
    <w:rsid w:val="00721BFE"/>
    <w:rsid w:val="00723663"/>
    <w:rsid w:val="00727DEF"/>
    <w:rsid w:val="00730E0A"/>
    <w:rsid w:val="007330D0"/>
    <w:rsid w:val="00736196"/>
    <w:rsid w:val="00746B26"/>
    <w:rsid w:val="00747013"/>
    <w:rsid w:val="00750F8C"/>
    <w:rsid w:val="00755FBF"/>
    <w:rsid w:val="00757627"/>
    <w:rsid w:val="00760C5A"/>
    <w:rsid w:val="00760EBC"/>
    <w:rsid w:val="00761034"/>
    <w:rsid w:val="00773529"/>
    <w:rsid w:val="00773719"/>
    <w:rsid w:val="00775428"/>
    <w:rsid w:val="00780EFC"/>
    <w:rsid w:val="00782929"/>
    <w:rsid w:val="00783094"/>
    <w:rsid w:val="0078657F"/>
    <w:rsid w:val="00786D01"/>
    <w:rsid w:val="00790E02"/>
    <w:rsid w:val="007940BF"/>
    <w:rsid w:val="007A0F92"/>
    <w:rsid w:val="007A2D36"/>
    <w:rsid w:val="007A68AE"/>
    <w:rsid w:val="007A7952"/>
    <w:rsid w:val="007B1490"/>
    <w:rsid w:val="007B638B"/>
    <w:rsid w:val="007C195E"/>
    <w:rsid w:val="007D22A1"/>
    <w:rsid w:val="007D5AA1"/>
    <w:rsid w:val="007D6156"/>
    <w:rsid w:val="007D744F"/>
    <w:rsid w:val="007E1475"/>
    <w:rsid w:val="007E3611"/>
    <w:rsid w:val="007E4645"/>
    <w:rsid w:val="007E4EC9"/>
    <w:rsid w:val="007F2ABB"/>
    <w:rsid w:val="00800D77"/>
    <w:rsid w:val="008053D8"/>
    <w:rsid w:val="00805864"/>
    <w:rsid w:val="00813E71"/>
    <w:rsid w:val="008246D3"/>
    <w:rsid w:val="0082787F"/>
    <w:rsid w:val="008279D2"/>
    <w:rsid w:val="00832CDB"/>
    <w:rsid w:val="008334EC"/>
    <w:rsid w:val="0083422C"/>
    <w:rsid w:val="008370EC"/>
    <w:rsid w:val="00841C26"/>
    <w:rsid w:val="008421F4"/>
    <w:rsid w:val="008466BB"/>
    <w:rsid w:val="0084749B"/>
    <w:rsid w:val="00856B50"/>
    <w:rsid w:val="00857AE9"/>
    <w:rsid w:val="0086237B"/>
    <w:rsid w:val="0086311B"/>
    <w:rsid w:val="008648AB"/>
    <w:rsid w:val="0087200D"/>
    <w:rsid w:val="00873356"/>
    <w:rsid w:val="00873D3E"/>
    <w:rsid w:val="0087606E"/>
    <w:rsid w:val="00880371"/>
    <w:rsid w:val="0088080B"/>
    <w:rsid w:val="00881F8C"/>
    <w:rsid w:val="0089029A"/>
    <w:rsid w:val="008911F3"/>
    <w:rsid w:val="008915AE"/>
    <w:rsid w:val="008949AD"/>
    <w:rsid w:val="0089731F"/>
    <w:rsid w:val="008A0CAC"/>
    <w:rsid w:val="008A0EAD"/>
    <w:rsid w:val="008A2F51"/>
    <w:rsid w:val="008B1E0A"/>
    <w:rsid w:val="008B446C"/>
    <w:rsid w:val="008B4BFC"/>
    <w:rsid w:val="008B7C1C"/>
    <w:rsid w:val="008C304B"/>
    <w:rsid w:val="008C56B9"/>
    <w:rsid w:val="008D228A"/>
    <w:rsid w:val="008D4410"/>
    <w:rsid w:val="008D45AD"/>
    <w:rsid w:val="008E0FB8"/>
    <w:rsid w:val="008E7075"/>
    <w:rsid w:val="008E73AD"/>
    <w:rsid w:val="008F12B9"/>
    <w:rsid w:val="008F38B5"/>
    <w:rsid w:val="008F3F72"/>
    <w:rsid w:val="0090585E"/>
    <w:rsid w:val="009067F6"/>
    <w:rsid w:val="00906D22"/>
    <w:rsid w:val="0090764B"/>
    <w:rsid w:val="009102B7"/>
    <w:rsid w:val="00911156"/>
    <w:rsid w:val="009115E4"/>
    <w:rsid w:val="009141CC"/>
    <w:rsid w:val="00920560"/>
    <w:rsid w:val="00921593"/>
    <w:rsid w:val="0093453C"/>
    <w:rsid w:val="009362FE"/>
    <w:rsid w:val="00936F89"/>
    <w:rsid w:val="00940C39"/>
    <w:rsid w:val="009432CB"/>
    <w:rsid w:val="00946528"/>
    <w:rsid w:val="00961278"/>
    <w:rsid w:val="00964A64"/>
    <w:rsid w:val="00967356"/>
    <w:rsid w:val="00980B20"/>
    <w:rsid w:val="00981DA1"/>
    <w:rsid w:val="009834D3"/>
    <w:rsid w:val="00985286"/>
    <w:rsid w:val="0098690D"/>
    <w:rsid w:val="009869EF"/>
    <w:rsid w:val="0098715C"/>
    <w:rsid w:val="0098724B"/>
    <w:rsid w:val="00987391"/>
    <w:rsid w:val="00987A9B"/>
    <w:rsid w:val="009911C6"/>
    <w:rsid w:val="009948B4"/>
    <w:rsid w:val="009A04C7"/>
    <w:rsid w:val="009A1CA7"/>
    <w:rsid w:val="009B013E"/>
    <w:rsid w:val="009B24CA"/>
    <w:rsid w:val="009B6368"/>
    <w:rsid w:val="009B7B40"/>
    <w:rsid w:val="009C0A4D"/>
    <w:rsid w:val="009C6A1F"/>
    <w:rsid w:val="009D1EA8"/>
    <w:rsid w:val="009D2179"/>
    <w:rsid w:val="009D6115"/>
    <w:rsid w:val="009D7021"/>
    <w:rsid w:val="009E2032"/>
    <w:rsid w:val="009E7795"/>
    <w:rsid w:val="009F2679"/>
    <w:rsid w:val="009F3364"/>
    <w:rsid w:val="009F5147"/>
    <w:rsid w:val="00A05E30"/>
    <w:rsid w:val="00A075AF"/>
    <w:rsid w:val="00A07BA3"/>
    <w:rsid w:val="00A1698A"/>
    <w:rsid w:val="00A2093C"/>
    <w:rsid w:val="00A26A55"/>
    <w:rsid w:val="00A2766E"/>
    <w:rsid w:val="00A27CB7"/>
    <w:rsid w:val="00A3196C"/>
    <w:rsid w:val="00A337EE"/>
    <w:rsid w:val="00A358CF"/>
    <w:rsid w:val="00A37703"/>
    <w:rsid w:val="00A4604E"/>
    <w:rsid w:val="00A51A72"/>
    <w:rsid w:val="00A52FA9"/>
    <w:rsid w:val="00A600D0"/>
    <w:rsid w:val="00A60840"/>
    <w:rsid w:val="00A6445E"/>
    <w:rsid w:val="00A650D0"/>
    <w:rsid w:val="00A65DAE"/>
    <w:rsid w:val="00A736FF"/>
    <w:rsid w:val="00A762FC"/>
    <w:rsid w:val="00A82DD4"/>
    <w:rsid w:val="00A854F5"/>
    <w:rsid w:val="00A9216A"/>
    <w:rsid w:val="00A94050"/>
    <w:rsid w:val="00AA2796"/>
    <w:rsid w:val="00AA5906"/>
    <w:rsid w:val="00AB1D34"/>
    <w:rsid w:val="00AB262E"/>
    <w:rsid w:val="00AC2E88"/>
    <w:rsid w:val="00AC6713"/>
    <w:rsid w:val="00AC6BE5"/>
    <w:rsid w:val="00AD050D"/>
    <w:rsid w:val="00AD7E8B"/>
    <w:rsid w:val="00AE15DB"/>
    <w:rsid w:val="00AE5312"/>
    <w:rsid w:val="00AF6330"/>
    <w:rsid w:val="00AF6679"/>
    <w:rsid w:val="00B00766"/>
    <w:rsid w:val="00B010E5"/>
    <w:rsid w:val="00B11192"/>
    <w:rsid w:val="00B20772"/>
    <w:rsid w:val="00B30341"/>
    <w:rsid w:val="00B32899"/>
    <w:rsid w:val="00B33FAA"/>
    <w:rsid w:val="00B3609D"/>
    <w:rsid w:val="00B45E5F"/>
    <w:rsid w:val="00B54767"/>
    <w:rsid w:val="00B55B19"/>
    <w:rsid w:val="00B55CEB"/>
    <w:rsid w:val="00B63F64"/>
    <w:rsid w:val="00B6512A"/>
    <w:rsid w:val="00B65CB9"/>
    <w:rsid w:val="00B739C4"/>
    <w:rsid w:val="00B767F7"/>
    <w:rsid w:val="00B77C86"/>
    <w:rsid w:val="00B9491E"/>
    <w:rsid w:val="00BA223D"/>
    <w:rsid w:val="00BA490D"/>
    <w:rsid w:val="00BA4A80"/>
    <w:rsid w:val="00BA4D72"/>
    <w:rsid w:val="00BD7791"/>
    <w:rsid w:val="00BE3EA9"/>
    <w:rsid w:val="00BF21CD"/>
    <w:rsid w:val="00BF65E8"/>
    <w:rsid w:val="00C0113E"/>
    <w:rsid w:val="00C01E62"/>
    <w:rsid w:val="00C029CE"/>
    <w:rsid w:val="00C03D44"/>
    <w:rsid w:val="00C078C9"/>
    <w:rsid w:val="00C1098A"/>
    <w:rsid w:val="00C12E29"/>
    <w:rsid w:val="00C2052F"/>
    <w:rsid w:val="00C21D68"/>
    <w:rsid w:val="00C2402A"/>
    <w:rsid w:val="00C240CA"/>
    <w:rsid w:val="00C241DF"/>
    <w:rsid w:val="00C27EC0"/>
    <w:rsid w:val="00C35A3F"/>
    <w:rsid w:val="00C40E26"/>
    <w:rsid w:val="00C40E75"/>
    <w:rsid w:val="00C4619E"/>
    <w:rsid w:val="00C47720"/>
    <w:rsid w:val="00C51615"/>
    <w:rsid w:val="00C518E4"/>
    <w:rsid w:val="00C53EAE"/>
    <w:rsid w:val="00C55E7F"/>
    <w:rsid w:val="00C56A7C"/>
    <w:rsid w:val="00C625C4"/>
    <w:rsid w:val="00C654A0"/>
    <w:rsid w:val="00C70EB2"/>
    <w:rsid w:val="00C71934"/>
    <w:rsid w:val="00C7219C"/>
    <w:rsid w:val="00C75905"/>
    <w:rsid w:val="00C76017"/>
    <w:rsid w:val="00C81908"/>
    <w:rsid w:val="00C9100E"/>
    <w:rsid w:val="00C9578D"/>
    <w:rsid w:val="00C968F0"/>
    <w:rsid w:val="00CA0E51"/>
    <w:rsid w:val="00CA13E4"/>
    <w:rsid w:val="00CA19FE"/>
    <w:rsid w:val="00CB104D"/>
    <w:rsid w:val="00CB22E6"/>
    <w:rsid w:val="00CB51AD"/>
    <w:rsid w:val="00CC524F"/>
    <w:rsid w:val="00CC6BD6"/>
    <w:rsid w:val="00CD3200"/>
    <w:rsid w:val="00CD3253"/>
    <w:rsid w:val="00CD46A9"/>
    <w:rsid w:val="00CD56E9"/>
    <w:rsid w:val="00CD5E61"/>
    <w:rsid w:val="00CD651B"/>
    <w:rsid w:val="00CF0FC2"/>
    <w:rsid w:val="00CF233A"/>
    <w:rsid w:val="00CF3C5A"/>
    <w:rsid w:val="00D02DE1"/>
    <w:rsid w:val="00D072BB"/>
    <w:rsid w:val="00D116CC"/>
    <w:rsid w:val="00D12A95"/>
    <w:rsid w:val="00D17692"/>
    <w:rsid w:val="00D231C8"/>
    <w:rsid w:val="00D23A70"/>
    <w:rsid w:val="00D27B26"/>
    <w:rsid w:val="00D309C4"/>
    <w:rsid w:val="00D332C2"/>
    <w:rsid w:val="00D40C69"/>
    <w:rsid w:val="00D42E38"/>
    <w:rsid w:val="00D50B87"/>
    <w:rsid w:val="00D54F4A"/>
    <w:rsid w:val="00D56663"/>
    <w:rsid w:val="00D632D1"/>
    <w:rsid w:val="00D6743A"/>
    <w:rsid w:val="00D67778"/>
    <w:rsid w:val="00D67EDE"/>
    <w:rsid w:val="00D713F0"/>
    <w:rsid w:val="00D72E4F"/>
    <w:rsid w:val="00D7341F"/>
    <w:rsid w:val="00D80E25"/>
    <w:rsid w:val="00D85471"/>
    <w:rsid w:val="00D91EEB"/>
    <w:rsid w:val="00D933C6"/>
    <w:rsid w:val="00D95436"/>
    <w:rsid w:val="00DA3336"/>
    <w:rsid w:val="00DA41FA"/>
    <w:rsid w:val="00DB0653"/>
    <w:rsid w:val="00DB3FE9"/>
    <w:rsid w:val="00DC047A"/>
    <w:rsid w:val="00DC2D1F"/>
    <w:rsid w:val="00DC2E40"/>
    <w:rsid w:val="00DC322A"/>
    <w:rsid w:val="00DC3C00"/>
    <w:rsid w:val="00DC5FD9"/>
    <w:rsid w:val="00DD0443"/>
    <w:rsid w:val="00DD2279"/>
    <w:rsid w:val="00DD7CD2"/>
    <w:rsid w:val="00DE0AFD"/>
    <w:rsid w:val="00DE117C"/>
    <w:rsid w:val="00DE3AF6"/>
    <w:rsid w:val="00DE5E1E"/>
    <w:rsid w:val="00DE5F59"/>
    <w:rsid w:val="00DE6696"/>
    <w:rsid w:val="00DF0244"/>
    <w:rsid w:val="00DF0640"/>
    <w:rsid w:val="00DF373A"/>
    <w:rsid w:val="00E01C20"/>
    <w:rsid w:val="00E059D3"/>
    <w:rsid w:val="00E06910"/>
    <w:rsid w:val="00E10E1B"/>
    <w:rsid w:val="00E160B8"/>
    <w:rsid w:val="00E16DFA"/>
    <w:rsid w:val="00E23320"/>
    <w:rsid w:val="00E24DF0"/>
    <w:rsid w:val="00E327F2"/>
    <w:rsid w:val="00E33248"/>
    <w:rsid w:val="00E33BAC"/>
    <w:rsid w:val="00E34955"/>
    <w:rsid w:val="00E3626B"/>
    <w:rsid w:val="00E37B17"/>
    <w:rsid w:val="00E41E4D"/>
    <w:rsid w:val="00E4319E"/>
    <w:rsid w:val="00E44252"/>
    <w:rsid w:val="00E50626"/>
    <w:rsid w:val="00E54244"/>
    <w:rsid w:val="00E73B67"/>
    <w:rsid w:val="00E7756D"/>
    <w:rsid w:val="00E839B0"/>
    <w:rsid w:val="00E94494"/>
    <w:rsid w:val="00EB3E88"/>
    <w:rsid w:val="00EB6C4D"/>
    <w:rsid w:val="00EC1B1F"/>
    <w:rsid w:val="00EC3B52"/>
    <w:rsid w:val="00ED6337"/>
    <w:rsid w:val="00ED6EBD"/>
    <w:rsid w:val="00EE07DF"/>
    <w:rsid w:val="00EF4FDE"/>
    <w:rsid w:val="00EF6087"/>
    <w:rsid w:val="00F06370"/>
    <w:rsid w:val="00F17598"/>
    <w:rsid w:val="00F20570"/>
    <w:rsid w:val="00F21069"/>
    <w:rsid w:val="00F2168D"/>
    <w:rsid w:val="00F32082"/>
    <w:rsid w:val="00F32DF0"/>
    <w:rsid w:val="00F420F0"/>
    <w:rsid w:val="00F446FE"/>
    <w:rsid w:val="00F453A9"/>
    <w:rsid w:val="00F508FD"/>
    <w:rsid w:val="00F5282E"/>
    <w:rsid w:val="00F535B7"/>
    <w:rsid w:val="00F57070"/>
    <w:rsid w:val="00F571AC"/>
    <w:rsid w:val="00F650E6"/>
    <w:rsid w:val="00F656CC"/>
    <w:rsid w:val="00F65885"/>
    <w:rsid w:val="00F67F02"/>
    <w:rsid w:val="00F73D35"/>
    <w:rsid w:val="00F766D9"/>
    <w:rsid w:val="00F77EA8"/>
    <w:rsid w:val="00F8111D"/>
    <w:rsid w:val="00F829D5"/>
    <w:rsid w:val="00F86745"/>
    <w:rsid w:val="00F9597F"/>
    <w:rsid w:val="00F9775D"/>
    <w:rsid w:val="00FA6FBC"/>
    <w:rsid w:val="00FA77D4"/>
    <w:rsid w:val="00FB0A8E"/>
    <w:rsid w:val="00FB1E0C"/>
    <w:rsid w:val="00FB2501"/>
    <w:rsid w:val="00FB2A83"/>
    <w:rsid w:val="00FB4886"/>
    <w:rsid w:val="00FB5BFA"/>
    <w:rsid w:val="00FB6CED"/>
    <w:rsid w:val="00FC176D"/>
    <w:rsid w:val="00FD132B"/>
    <w:rsid w:val="00FD16E9"/>
    <w:rsid w:val="00FD3FF8"/>
    <w:rsid w:val="00FE0140"/>
    <w:rsid w:val="00FE02BB"/>
    <w:rsid w:val="00FE12DD"/>
    <w:rsid w:val="010827C0"/>
    <w:rsid w:val="01EF572E"/>
    <w:rsid w:val="02637D1E"/>
    <w:rsid w:val="02EA2661"/>
    <w:rsid w:val="046917C8"/>
    <w:rsid w:val="047C599F"/>
    <w:rsid w:val="04DE21B6"/>
    <w:rsid w:val="055B3806"/>
    <w:rsid w:val="06BA155D"/>
    <w:rsid w:val="072058AF"/>
    <w:rsid w:val="076B498B"/>
    <w:rsid w:val="07AE1D0E"/>
    <w:rsid w:val="0A03621B"/>
    <w:rsid w:val="0B7B2BF1"/>
    <w:rsid w:val="0D466B4A"/>
    <w:rsid w:val="0DD24882"/>
    <w:rsid w:val="0E622648"/>
    <w:rsid w:val="0E7E0566"/>
    <w:rsid w:val="0E8A43F3"/>
    <w:rsid w:val="0EAE7F1E"/>
    <w:rsid w:val="0F204823"/>
    <w:rsid w:val="0FB32491"/>
    <w:rsid w:val="110765F0"/>
    <w:rsid w:val="14072DAB"/>
    <w:rsid w:val="149F45A3"/>
    <w:rsid w:val="154D2A40"/>
    <w:rsid w:val="16161345"/>
    <w:rsid w:val="17DD3781"/>
    <w:rsid w:val="18070E65"/>
    <w:rsid w:val="191E4488"/>
    <w:rsid w:val="1A671ED8"/>
    <w:rsid w:val="1AAE21D3"/>
    <w:rsid w:val="1AC508A3"/>
    <w:rsid w:val="1B162396"/>
    <w:rsid w:val="1B412331"/>
    <w:rsid w:val="1D55480D"/>
    <w:rsid w:val="1DF708B6"/>
    <w:rsid w:val="1E5B7F7C"/>
    <w:rsid w:val="1EC56ACD"/>
    <w:rsid w:val="1EF75723"/>
    <w:rsid w:val="1F5F1CED"/>
    <w:rsid w:val="1FFA6E9B"/>
    <w:rsid w:val="20254CE5"/>
    <w:rsid w:val="205DBF34"/>
    <w:rsid w:val="21D95D87"/>
    <w:rsid w:val="221B003E"/>
    <w:rsid w:val="228B397D"/>
    <w:rsid w:val="23BD5235"/>
    <w:rsid w:val="24F37160"/>
    <w:rsid w:val="256C6F12"/>
    <w:rsid w:val="25757B75"/>
    <w:rsid w:val="25B70BD7"/>
    <w:rsid w:val="25DA3E7C"/>
    <w:rsid w:val="26387CD4"/>
    <w:rsid w:val="26DE2734"/>
    <w:rsid w:val="272E0923"/>
    <w:rsid w:val="274710BE"/>
    <w:rsid w:val="27C77D4E"/>
    <w:rsid w:val="286946EB"/>
    <w:rsid w:val="298A5BB9"/>
    <w:rsid w:val="2B142BAC"/>
    <w:rsid w:val="2BD53DFD"/>
    <w:rsid w:val="2DD815E9"/>
    <w:rsid w:val="2E9077CD"/>
    <w:rsid w:val="2EAD4823"/>
    <w:rsid w:val="2EAF749F"/>
    <w:rsid w:val="2EDA313F"/>
    <w:rsid w:val="2F7610B9"/>
    <w:rsid w:val="2FB72630"/>
    <w:rsid w:val="2FBD63DD"/>
    <w:rsid w:val="30920A31"/>
    <w:rsid w:val="314452A0"/>
    <w:rsid w:val="32582CF8"/>
    <w:rsid w:val="32755658"/>
    <w:rsid w:val="333A0650"/>
    <w:rsid w:val="34C84488"/>
    <w:rsid w:val="3502780C"/>
    <w:rsid w:val="3530124D"/>
    <w:rsid w:val="35611EC4"/>
    <w:rsid w:val="37BFAF01"/>
    <w:rsid w:val="37DA4C08"/>
    <w:rsid w:val="37F5378E"/>
    <w:rsid w:val="38BD1B07"/>
    <w:rsid w:val="38E3A9B8"/>
    <w:rsid w:val="3997E1A8"/>
    <w:rsid w:val="3AEA4709"/>
    <w:rsid w:val="3B6FCC7F"/>
    <w:rsid w:val="3B954675"/>
    <w:rsid w:val="3BF21AC7"/>
    <w:rsid w:val="3C216780"/>
    <w:rsid w:val="3C357FBB"/>
    <w:rsid w:val="3CB51561"/>
    <w:rsid w:val="3EC970E4"/>
    <w:rsid w:val="3EE93B81"/>
    <w:rsid w:val="3EEFC8CF"/>
    <w:rsid w:val="3F7F1FBC"/>
    <w:rsid w:val="3F96178F"/>
    <w:rsid w:val="3FDF05B5"/>
    <w:rsid w:val="427871AA"/>
    <w:rsid w:val="432A5FEB"/>
    <w:rsid w:val="436C723C"/>
    <w:rsid w:val="443F0ADE"/>
    <w:rsid w:val="4614088C"/>
    <w:rsid w:val="46540183"/>
    <w:rsid w:val="48713109"/>
    <w:rsid w:val="49481F00"/>
    <w:rsid w:val="49787384"/>
    <w:rsid w:val="49824751"/>
    <w:rsid w:val="499B5F99"/>
    <w:rsid w:val="4BA803F5"/>
    <w:rsid w:val="4BFECABA"/>
    <w:rsid w:val="4C7D53DD"/>
    <w:rsid w:val="4DB93CE6"/>
    <w:rsid w:val="4DF72F6D"/>
    <w:rsid w:val="4E760336"/>
    <w:rsid w:val="4F7BBE1E"/>
    <w:rsid w:val="4FF29FBC"/>
    <w:rsid w:val="52FFD4A5"/>
    <w:rsid w:val="530C3017"/>
    <w:rsid w:val="538B6CA3"/>
    <w:rsid w:val="54256C07"/>
    <w:rsid w:val="55BB0D24"/>
    <w:rsid w:val="56027ADA"/>
    <w:rsid w:val="56293EE0"/>
    <w:rsid w:val="566A696C"/>
    <w:rsid w:val="56AD68BF"/>
    <w:rsid w:val="56FD7D1F"/>
    <w:rsid w:val="57571CBA"/>
    <w:rsid w:val="594C3F14"/>
    <w:rsid w:val="599B6DB6"/>
    <w:rsid w:val="59B85CA7"/>
    <w:rsid w:val="5A07278A"/>
    <w:rsid w:val="5A4A08C9"/>
    <w:rsid w:val="5AEEA582"/>
    <w:rsid w:val="5B060C94"/>
    <w:rsid w:val="5BFF8EEA"/>
    <w:rsid w:val="5EE82911"/>
    <w:rsid w:val="5F337B7D"/>
    <w:rsid w:val="5F574C34"/>
    <w:rsid w:val="5FB989EE"/>
    <w:rsid w:val="5FD50C35"/>
    <w:rsid w:val="5FDDA2CE"/>
    <w:rsid w:val="614F11DE"/>
    <w:rsid w:val="6299163B"/>
    <w:rsid w:val="64616F3B"/>
    <w:rsid w:val="64A15589"/>
    <w:rsid w:val="64B95F10"/>
    <w:rsid w:val="666FCD3F"/>
    <w:rsid w:val="6673696B"/>
    <w:rsid w:val="67404FA6"/>
    <w:rsid w:val="68541290"/>
    <w:rsid w:val="689A2A1B"/>
    <w:rsid w:val="692F2F45"/>
    <w:rsid w:val="69961435"/>
    <w:rsid w:val="69DD4F7C"/>
    <w:rsid w:val="6CEE3336"/>
    <w:rsid w:val="6D632F47"/>
    <w:rsid w:val="6DBB552F"/>
    <w:rsid w:val="6EC74D03"/>
    <w:rsid w:val="6F045092"/>
    <w:rsid w:val="6F1A2758"/>
    <w:rsid w:val="6F37998F"/>
    <w:rsid w:val="6FDE1D44"/>
    <w:rsid w:val="6FFD3A89"/>
    <w:rsid w:val="713515C2"/>
    <w:rsid w:val="71ED0060"/>
    <w:rsid w:val="74104710"/>
    <w:rsid w:val="753F5076"/>
    <w:rsid w:val="75AE5B5F"/>
    <w:rsid w:val="765A079C"/>
    <w:rsid w:val="76692017"/>
    <w:rsid w:val="773FD322"/>
    <w:rsid w:val="779F053D"/>
    <w:rsid w:val="77E616E5"/>
    <w:rsid w:val="77F6FFAD"/>
    <w:rsid w:val="77F952C0"/>
    <w:rsid w:val="78176B3C"/>
    <w:rsid w:val="78D21D5D"/>
    <w:rsid w:val="79286575"/>
    <w:rsid w:val="79EBDCEA"/>
    <w:rsid w:val="79EF706B"/>
    <w:rsid w:val="7A8F7F06"/>
    <w:rsid w:val="7AC1533A"/>
    <w:rsid w:val="7BA43E85"/>
    <w:rsid w:val="7BAD447A"/>
    <w:rsid w:val="7BBF1A17"/>
    <w:rsid w:val="7BEDFEDC"/>
    <w:rsid w:val="7BEF1A08"/>
    <w:rsid w:val="7BFD9180"/>
    <w:rsid w:val="7C78AB75"/>
    <w:rsid w:val="7CA67789"/>
    <w:rsid w:val="7CF98402"/>
    <w:rsid w:val="7DB06B11"/>
    <w:rsid w:val="7DCDAD54"/>
    <w:rsid w:val="7DFF3234"/>
    <w:rsid w:val="7F7DCD57"/>
    <w:rsid w:val="7FE9071C"/>
    <w:rsid w:val="7FEB5CBA"/>
    <w:rsid w:val="7FF708EF"/>
    <w:rsid w:val="7FFC8E94"/>
    <w:rsid w:val="7FFE3AE7"/>
    <w:rsid w:val="7FFFA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qFormat/>
    <w:pPr>
      <w:spacing w:after="120" w:line="440" w:lineRule="exact"/>
    </w:pPr>
    <w:rPr>
      <w:rFonts w:eastAsia="仿宋_GB2312"/>
      <w:sz w:val="32"/>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2"/>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9">
    <w:name w:val="List Paragraph"/>
    <w:basedOn w:val="a"/>
    <w:uiPriority w:val="34"/>
    <w:qFormat/>
    <w:pPr>
      <w:ind w:firstLineChars="200" w:firstLine="420"/>
    </w:pPr>
  </w:style>
  <w:style w:type="paragraph" w:customStyle="1" w:styleId="1">
    <w:name w:val="修订1"/>
    <w:uiPriority w:val="99"/>
    <w:semiHidden/>
    <w:qFormat/>
    <w:rPr>
      <w:kern w:val="2"/>
      <w:sz w:val="21"/>
      <w:szCs w:val="24"/>
    </w:rPr>
  </w:style>
  <w:style w:type="character" w:customStyle="1" w:styleId="NormalCharacter">
    <w:name w:val="NormalCharacter"/>
    <w:semiHidden/>
    <w:qFormat/>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2">
    <w:name w:val="批注主题 Char"/>
    <w:basedOn w:val="Char"/>
    <w:link w:val="a7"/>
    <w:uiPriority w:val="99"/>
    <w:semiHidden/>
    <w:qFormat/>
    <w:rPr>
      <w:rFonts w:ascii="Times New Roman" w:eastAsia="宋体" w:hAnsi="Times New Roman" w:cs="Times New Roman"/>
      <w:b/>
      <w:bCs/>
      <w:szCs w:val="24"/>
    </w:rPr>
  </w:style>
  <w:style w:type="paragraph" w:styleId="aa">
    <w:name w:val="Balloon Text"/>
    <w:basedOn w:val="a"/>
    <w:link w:val="Char3"/>
    <w:uiPriority w:val="99"/>
    <w:semiHidden/>
    <w:unhideWhenUsed/>
    <w:rsid w:val="00EF4FDE"/>
    <w:rPr>
      <w:sz w:val="18"/>
      <w:szCs w:val="18"/>
    </w:rPr>
  </w:style>
  <w:style w:type="character" w:customStyle="1" w:styleId="Char3">
    <w:name w:val="批注框文本 Char"/>
    <w:basedOn w:val="a0"/>
    <w:link w:val="aa"/>
    <w:uiPriority w:val="99"/>
    <w:semiHidden/>
    <w:rsid w:val="00EF4FD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ody Text"/>
    <w:basedOn w:val="a"/>
    <w:qFormat/>
    <w:pPr>
      <w:spacing w:after="120" w:line="440" w:lineRule="exact"/>
    </w:pPr>
    <w:rPr>
      <w:rFonts w:eastAsia="仿宋_GB2312"/>
      <w:sz w:val="32"/>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2"/>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styleId="a9">
    <w:name w:val="List Paragraph"/>
    <w:basedOn w:val="a"/>
    <w:uiPriority w:val="34"/>
    <w:qFormat/>
    <w:pPr>
      <w:ind w:firstLineChars="200" w:firstLine="420"/>
    </w:pPr>
  </w:style>
  <w:style w:type="paragraph" w:customStyle="1" w:styleId="1">
    <w:name w:val="修订1"/>
    <w:uiPriority w:val="99"/>
    <w:semiHidden/>
    <w:qFormat/>
    <w:rPr>
      <w:kern w:val="2"/>
      <w:sz w:val="21"/>
      <w:szCs w:val="24"/>
    </w:rPr>
  </w:style>
  <w:style w:type="character" w:customStyle="1" w:styleId="NormalCharacter">
    <w:name w:val="NormalCharacter"/>
    <w:semiHidden/>
    <w:qFormat/>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2">
    <w:name w:val="批注主题 Char"/>
    <w:basedOn w:val="Char"/>
    <w:link w:val="a7"/>
    <w:uiPriority w:val="99"/>
    <w:semiHidden/>
    <w:qFormat/>
    <w:rPr>
      <w:rFonts w:ascii="Times New Roman" w:eastAsia="宋体" w:hAnsi="Times New Roman" w:cs="Times New Roman"/>
      <w:b/>
      <w:bCs/>
      <w:szCs w:val="24"/>
    </w:rPr>
  </w:style>
  <w:style w:type="paragraph" w:styleId="aa">
    <w:name w:val="Balloon Text"/>
    <w:basedOn w:val="a"/>
    <w:link w:val="Char3"/>
    <w:uiPriority w:val="99"/>
    <w:semiHidden/>
    <w:unhideWhenUsed/>
    <w:rsid w:val="00EF4FDE"/>
    <w:rPr>
      <w:sz w:val="18"/>
      <w:szCs w:val="18"/>
    </w:rPr>
  </w:style>
  <w:style w:type="character" w:customStyle="1" w:styleId="Char3">
    <w:name w:val="批注框文本 Char"/>
    <w:basedOn w:val="a0"/>
    <w:link w:val="aa"/>
    <w:uiPriority w:val="99"/>
    <w:semiHidden/>
    <w:rsid w:val="00EF4FD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1663</Words>
  <Characters>9484</Characters>
  <Application>Microsoft Office Word</Application>
  <DocSecurity>0</DocSecurity>
  <Lines>79</Lines>
  <Paragraphs>22</Paragraphs>
  <ScaleCrop>false</ScaleCrop>
  <Company>Hewlett-Packard Company</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海龙</dc:creator>
  <cp:lastModifiedBy>汪洋</cp:lastModifiedBy>
  <cp:revision>558</cp:revision>
  <cp:lastPrinted>2023-06-10T08:45:00Z</cp:lastPrinted>
  <dcterms:created xsi:type="dcterms:W3CDTF">2023-03-18T17:51:00Z</dcterms:created>
  <dcterms:modified xsi:type="dcterms:W3CDTF">2023-08-22T08:02:00Z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595599CB0F3649AAA2088D45B5BD95B9_12</vt:lpwstr>
  </property>
</Properties>
</file>