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3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854"/>
        <w:gridCol w:w="948"/>
        <w:gridCol w:w="1238"/>
        <w:gridCol w:w="1417"/>
        <w:gridCol w:w="1390"/>
        <w:gridCol w:w="2487"/>
        <w:gridCol w:w="647"/>
        <w:gridCol w:w="1621"/>
        <w:gridCol w:w="993"/>
        <w:gridCol w:w="1056"/>
      </w:tblGrid>
      <w:tr>
        <w:tblPrEx>
          <w:tblCellMar>
            <w:top w:w="0" w:type="dxa"/>
            <w:left w:w="108" w:type="dxa"/>
            <w:bottom w:w="0" w:type="dxa"/>
            <w:right w:w="108" w:type="dxa"/>
          </w:tblCellMar>
        </w:tblPrEx>
        <w:trPr>
          <w:jc w:val="center"/>
        </w:trPr>
        <w:tc>
          <w:tcPr>
            <w:tcW w:w="13229" w:type="dxa"/>
            <w:gridSpan w:val="11"/>
            <w:tcBorders>
              <w:top w:val="nil"/>
              <w:left w:val="nil"/>
              <w:bottom w:val="single" w:color="auto" w:sz="4" w:space="0"/>
              <w:right w:val="nil"/>
            </w:tcBorders>
            <w:shd w:val="clear" w:color="auto" w:fill="auto"/>
            <w:vAlign w:val="center"/>
          </w:tcPr>
          <w:p>
            <w:pPr>
              <w:widowControl/>
              <w:spacing w:line="320" w:lineRule="exact"/>
              <w:jc w:val="center"/>
              <w:rPr>
                <w:rFonts w:hint="eastAsia" w:ascii="宋体" w:hAnsi="宋体" w:eastAsia="宋体" w:cs="宋体"/>
                <w:b/>
                <w:bCs/>
                <w:color w:val="auto"/>
                <w:kern w:val="0"/>
                <w:sz w:val="21"/>
                <w:szCs w:val="21"/>
              </w:rPr>
            </w:pPr>
          </w:p>
          <w:p>
            <w:pPr>
              <w:widowControl/>
              <w:spacing w:line="320" w:lineRule="exact"/>
              <w:jc w:val="center"/>
              <w:rPr>
                <w:rFonts w:ascii="宋体" w:hAnsi="宋体" w:eastAsia="宋体" w:cs="宋体"/>
                <w:b/>
                <w:bCs/>
                <w:color w:val="auto"/>
                <w:kern w:val="0"/>
                <w:sz w:val="28"/>
                <w:szCs w:val="28"/>
              </w:rPr>
            </w:pPr>
            <w:r>
              <w:rPr>
                <w:rFonts w:hint="eastAsia" w:ascii="宋体" w:hAnsi="宋体" w:eastAsia="宋体" w:cs="宋体"/>
                <w:b/>
                <w:bCs/>
                <w:color w:val="auto"/>
                <w:kern w:val="0"/>
                <w:sz w:val="28"/>
                <w:szCs w:val="28"/>
              </w:rPr>
              <w:t>项目支出绩效自评表</w:t>
            </w:r>
          </w:p>
          <w:p>
            <w:pPr>
              <w:widowControl/>
              <w:spacing w:line="320" w:lineRule="exact"/>
              <w:jc w:val="center"/>
              <w:rPr>
                <w:rFonts w:ascii="宋体" w:hAnsi="宋体" w:eastAsia="宋体" w:cs="宋体"/>
                <w:b/>
                <w:bCs/>
                <w:color w:val="auto"/>
                <w:kern w:val="0"/>
                <w:szCs w:val="21"/>
              </w:rPr>
            </w:pPr>
            <w:r>
              <w:rPr>
                <w:rFonts w:hint="eastAsia" w:ascii="宋体" w:hAnsi="宋体" w:eastAsia="宋体" w:cs="宋体"/>
                <w:color w:val="auto"/>
                <w:kern w:val="0"/>
                <w:szCs w:val="21"/>
              </w:rPr>
              <w:t>（202</w:t>
            </w:r>
            <w:r>
              <w:rPr>
                <w:rFonts w:ascii="宋体" w:hAnsi="宋体" w:eastAsia="宋体" w:cs="宋体"/>
                <w:color w:val="auto"/>
                <w:kern w:val="0"/>
                <w:szCs w:val="21"/>
              </w:rPr>
              <w:t>2</w:t>
            </w:r>
            <w:r>
              <w:rPr>
                <w:rFonts w:hint="eastAsia" w:ascii="宋体" w:hAnsi="宋体" w:eastAsia="宋体" w:cs="宋体"/>
                <w:color w:val="auto"/>
                <w:kern w:val="0"/>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项目名称</w:t>
            </w:r>
          </w:p>
        </w:tc>
        <w:tc>
          <w:tcPr>
            <w:tcW w:w="11797" w:type="dxa"/>
            <w:gridSpan w:val="9"/>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北京市提升广播电视和网络视听业国际传播力奖励扶持专项资金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32"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主管部门</w:t>
            </w:r>
          </w:p>
        </w:tc>
        <w:tc>
          <w:tcPr>
            <w:tcW w:w="4993" w:type="dxa"/>
            <w:gridSpan w:val="4"/>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实施单位</w:t>
            </w:r>
          </w:p>
        </w:tc>
        <w:tc>
          <w:tcPr>
            <w:tcW w:w="3670" w:type="dxa"/>
            <w:gridSpan w:val="3"/>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北京市广播电视局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w:t>
            </w:r>
            <w:r>
              <w:rPr>
                <w:rFonts w:ascii="宋体" w:hAnsi="宋体" w:eastAsia="宋体" w:cs="宋体"/>
                <w:color w:val="auto"/>
                <w:kern w:val="0"/>
                <w:szCs w:val="21"/>
              </w:rPr>
              <w:t>负责人</w:t>
            </w:r>
          </w:p>
        </w:tc>
        <w:tc>
          <w:tcPr>
            <w:tcW w:w="4993" w:type="dxa"/>
            <w:gridSpan w:val="4"/>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石磊</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联系电话</w:t>
            </w:r>
          </w:p>
        </w:tc>
        <w:tc>
          <w:tcPr>
            <w:tcW w:w="3670" w:type="dxa"/>
            <w:gridSpan w:val="3"/>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55565455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项目资金</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（万元）</w:t>
            </w:r>
          </w:p>
        </w:tc>
        <w:tc>
          <w:tcPr>
            <w:tcW w:w="2186" w:type="dxa"/>
            <w:gridSpan w:val="2"/>
            <w:shd w:val="clear" w:color="auto" w:fill="auto"/>
            <w:vAlign w:val="center"/>
          </w:tcPr>
          <w:p>
            <w:pPr>
              <w:widowControl/>
              <w:spacing w:line="240" w:lineRule="exact"/>
              <w:jc w:val="center"/>
              <w:rPr>
                <w:rFonts w:ascii="宋体" w:hAnsi="宋体" w:eastAsia="宋体" w:cs="宋体"/>
                <w:color w:val="auto"/>
                <w:kern w:val="0"/>
                <w:szCs w:val="21"/>
              </w:rPr>
            </w:pPr>
          </w:p>
        </w:tc>
        <w:tc>
          <w:tcPr>
            <w:tcW w:w="141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年初预算数</w:t>
            </w:r>
          </w:p>
        </w:tc>
        <w:tc>
          <w:tcPr>
            <w:tcW w:w="1390"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全年预算数</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全年执行数</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993"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执行率</w:t>
            </w:r>
          </w:p>
        </w:tc>
        <w:tc>
          <w:tcPr>
            <w:tcW w:w="1056"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年度资金总额</w:t>
            </w:r>
          </w:p>
        </w:tc>
        <w:tc>
          <w:tcPr>
            <w:tcW w:w="141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3068.362</w:t>
            </w:r>
          </w:p>
        </w:tc>
        <w:tc>
          <w:tcPr>
            <w:tcW w:w="1390"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3068.362</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3060</w:t>
            </w:r>
            <w:r>
              <w:rPr>
                <w:rFonts w:hint="eastAsia" w:ascii="宋体" w:hAnsi="宋体" w:eastAsia="宋体" w:cs="宋体"/>
                <w:color w:val="auto"/>
                <w:kern w:val="0"/>
                <w:szCs w:val="21"/>
              </w:rPr>
              <w:t>.</w:t>
            </w:r>
            <w:r>
              <w:rPr>
                <w:rFonts w:ascii="宋体" w:hAnsi="宋体" w:eastAsia="宋体" w:cs="宋体"/>
                <w:color w:val="auto"/>
                <w:kern w:val="0"/>
                <w:szCs w:val="21"/>
              </w:rPr>
              <w:t>33</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993" w:type="dxa"/>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99.74%</w:t>
            </w:r>
          </w:p>
        </w:tc>
        <w:tc>
          <w:tcPr>
            <w:tcW w:w="1056" w:type="dxa"/>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其中：当年财政拨款</w:t>
            </w:r>
          </w:p>
        </w:tc>
        <w:tc>
          <w:tcPr>
            <w:tcW w:w="141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3068.362</w:t>
            </w:r>
          </w:p>
        </w:tc>
        <w:tc>
          <w:tcPr>
            <w:tcW w:w="1390"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3068.362</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3060</w:t>
            </w:r>
            <w:r>
              <w:rPr>
                <w:rFonts w:hint="eastAsia" w:ascii="宋体" w:hAnsi="宋体" w:eastAsia="宋体" w:cs="宋体"/>
                <w:color w:val="auto"/>
                <w:kern w:val="0"/>
                <w:szCs w:val="21"/>
              </w:rPr>
              <w:t>.</w:t>
            </w:r>
            <w:r>
              <w:rPr>
                <w:rFonts w:ascii="宋体" w:hAnsi="宋体" w:eastAsia="宋体" w:cs="宋体"/>
                <w:color w:val="auto"/>
                <w:kern w:val="0"/>
                <w:szCs w:val="21"/>
              </w:rPr>
              <w:t>33</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993"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056"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上年结转资金</w:t>
            </w:r>
          </w:p>
        </w:tc>
        <w:tc>
          <w:tcPr>
            <w:tcW w:w="1417"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390"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993"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2" w:type="dxa"/>
            <w:gridSpan w:val="2"/>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2186"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 xml:space="preserve">  其他资金</w:t>
            </w:r>
          </w:p>
        </w:tc>
        <w:tc>
          <w:tcPr>
            <w:tcW w:w="1417"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390"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3134"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c>
          <w:tcPr>
            <w:tcW w:w="993"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w:t>
            </w:r>
          </w:p>
        </w:tc>
        <w:tc>
          <w:tcPr>
            <w:tcW w:w="1056" w:type="dxa"/>
            <w:shd w:val="clear" w:color="auto" w:fill="auto"/>
            <w:vAlign w:val="center"/>
          </w:tcPr>
          <w:p>
            <w:pPr>
              <w:widowControl/>
              <w:spacing w:line="240" w:lineRule="exact"/>
              <w:jc w:val="center"/>
              <w:rPr>
                <w:rFonts w:ascii="宋体" w:hAnsi="宋体" w:eastAsia="宋体" w:cs="宋体"/>
                <w:color w:val="auto"/>
                <w:kern w:val="0"/>
                <w:szCs w:val="21"/>
              </w:rPr>
            </w:pPr>
            <w:r>
              <w:rPr>
                <w:rFonts w:ascii="宋体" w:hAnsi="宋体" w:eastAsia="宋体" w:cs="宋体"/>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年度总体目标</w:t>
            </w:r>
          </w:p>
        </w:tc>
        <w:tc>
          <w:tcPr>
            <w:tcW w:w="5847" w:type="dxa"/>
            <w:gridSpan w:val="5"/>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预期目标</w:t>
            </w:r>
          </w:p>
        </w:tc>
        <w:tc>
          <w:tcPr>
            <w:tcW w:w="6804" w:type="dxa"/>
            <w:gridSpan w:val="5"/>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5847" w:type="dxa"/>
            <w:gridSpan w:val="5"/>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通过面向全行业的北京市广播电视和网络视听业国际传播力奖励扶持专项资金，对北京广播电视网络视听业“走出去”工作进行持续的、有重点的扶持奖励，吸引调动北京广播电视网络视听行业更加积极地参与对外传播，更好地服务于全国文化中心和国际交往中心建设。</w:t>
            </w:r>
          </w:p>
        </w:tc>
        <w:tc>
          <w:tcPr>
            <w:tcW w:w="6804" w:type="dxa"/>
            <w:gridSpan w:val="5"/>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通过奖励扶持对外传播译制项目、优秀版权输出项目、平台建设项目及效能提升项目，进行了持续的、有重点的扶持奖励，吸引调动了北京广播电视和网络视听行业更加积极地参与对外传播，实现了更好地服务于全国文化中心和国际交往中心建设，提高了北京广播电视和网络视听业的国际化水平，根据最终评审结果拟定了扶持项目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7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绩</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效</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指</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标</w:t>
            </w:r>
          </w:p>
        </w:tc>
        <w:tc>
          <w:tcPr>
            <w:tcW w:w="854"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一级</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二级</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三级指标</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年度</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指标值</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实际</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完成值</w:t>
            </w:r>
          </w:p>
        </w:tc>
        <w:tc>
          <w:tcPr>
            <w:tcW w:w="64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分值</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得分</w:t>
            </w:r>
          </w:p>
        </w:tc>
        <w:tc>
          <w:tcPr>
            <w:tcW w:w="2049"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偏差原因分析</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产出</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数量</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扶持企业数量</w:t>
            </w:r>
          </w:p>
        </w:tc>
        <w:tc>
          <w:tcPr>
            <w:tcW w:w="2807" w:type="dxa"/>
            <w:gridSpan w:val="2"/>
            <w:shd w:val="clear" w:color="auto" w:fill="auto"/>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10家</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15家</w:t>
            </w:r>
          </w:p>
        </w:tc>
        <w:tc>
          <w:tcPr>
            <w:tcW w:w="647"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3</w:t>
            </w:r>
          </w:p>
        </w:tc>
        <w:tc>
          <w:tcPr>
            <w:tcW w:w="1621"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3</w:t>
            </w:r>
          </w:p>
        </w:tc>
        <w:tc>
          <w:tcPr>
            <w:tcW w:w="2049" w:type="dxa"/>
            <w:gridSpan w:val="2"/>
            <w:shd w:val="clear" w:color="auto" w:fill="auto"/>
            <w:vAlign w:val="center"/>
          </w:tcPr>
          <w:p>
            <w:pPr>
              <w:widowControl/>
              <w:spacing w:line="240" w:lineRule="exact"/>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扶持项目数量</w:t>
            </w:r>
          </w:p>
        </w:tc>
        <w:tc>
          <w:tcPr>
            <w:tcW w:w="2807" w:type="dxa"/>
            <w:gridSpan w:val="2"/>
            <w:shd w:val="clear" w:color="auto" w:fill="auto"/>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40个</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50个项目</w:t>
            </w:r>
          </w:p>
        </w:tc>
        <w:tc>
          <w:tcPr>
            <w:tcW w:w="647"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4</w:t>
            </w:r>
          </w:p>
        </w:tc>
        <w:tc>
          <w:tcPr>
            <w:tcW w:w="1621"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4</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项目涵盖语种数量</w:t>
            </w:r>
          </w:p>
        </w:tc>
        <w:tc>
          <w:tcPr>
            <w:tcW w:w="2807" w:type="dxa"/>
            <w:gridSpan w:val="2"/>
            <w:shd w:val="clear" w:color="auto" w:fill="auto"/>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≥1</w:t>
            </w:r>
            <w:r>
              <w:rPr>
                <w:rFonts w:ascii="宋体" w:hAnsi="宋体" w:eastAsia="宋体" w:cs="宋体"/>
                <w:color w:val="auto"/>
                <w:kern w:val="0"/>
                <w:szCs w:val="21"/>
              </w:rPr>
              <w:t>0个</w:t>
            </w:r>
          </w:p>
        </w:tc>
        <w:tc>
          <w:tcPr>
            <w:tcW w:w="248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22个</w:t>
            </w:r>
          </w:p>
        </w:tc>
        <w:tc>
          <w:tcPr>
            <w:tcW w:w="647"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3</w:t>
            </w:r>
          </w:p>
        </w:tc>
        <w:tc>
          <w:tcPr>
            <w:tcW w:w="1621" w:type="dxa"/>
            <w:shd w:val="clear" w:color="auto" w:fill="auto"/>
            <w:vAlign w:val="center"/>
          </w:tcPr>
          <w:p>
            <w:pPr>
              <w:widowControl/>
              <w:spacing w:line="240" w:lineRule="exact"/>
              <w:jc w:val="center"/>
              <w:rPr>
                <w:rFonts w:ascii="宋体" w:hAnsi="宋体" w:cs="宋体"/>
                <w:color w:val="auto"/>
                <w:kern w:val="0"/>
                <w:sz w:val="21"/>
                <w:szCs w:val="21"/>
              </w:rPr>
            </w:pPr>
            <w:r>
              <w:rPr>
                <w:rFonts w:ascii="宋体" w:hAnsi="宋体" w:cs="宋体"/>
                <w:color w:val="auto"/>
                <w:kern w:val="0"/>
                <w:sz w:val="21"/>
                <w:szCs w:val="21"/>
              </w:rPr>
              <w:t>3</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质量</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rPr>
                <w:rFonts w:ascii="宋体" w:hAnsi="宋体" w:eastAsia="宋体" w:cs="宋体"/>
                <w:color w:val="auto"/>
                <w:kern w:val="0"/>
                <w:szCs w:val="21"/>
              </w:rPr>
            </w:pPr>
            <w:r>
              <w:rPr>
                <w:rFonts w:hint="eastAsia" w:ascii="宋体" w:hAnsi="宋体" w:eastAsia="宋体" w:cs="宋体"/>
                <w:color w:val="auto"/>
                <w:kern w:val="0"/>
                <w:szCs w:val="21"/>
              </w:rPr>
              <w:t>奖励项目种类多元、译制、版权输出、国外传播平台各类项目</w:t>
            </w:r>
          </w:p>
        </w:tc>
        <w:tc>
          <w:tcPr>
            <w:tcW w:w="2807" w:type="dxa"/>
            <w:gridSpan w:val="2"/>
            <w:shd w:val="clear" w:color="auto" w:fill="auto"/>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奖励类型覆盖了译制、版权输出、国外传播平台、国际效能提升，各类项目，达到了种类多元化。</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3"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rPr>
                <w:rFonts w:ascii="宋体" w:hAnsi="宋体" w:eastAsia="宋体" w:cs="宋体"/>
                <w:color w:val="auto"/>
                <w:kern w:val="0"/>
                <w:szCs w:val="21"/>
              </w:rPr>
            </w:pPr>
            <w:r>
              <w:rPr>
                <w:rFonts w:hint="eastAsia" w:ascii="宋体" w:hAnsi="宋体" w:eastAsia="宋体" w:cs="宋体"/>
                <w:color w:val="auto"/>
                <w:kern w:val="0"/>
                <w:szCs w:val="21"/>
              </w:rPr>
              <w:t>奖励项目主题丰富、传播社会主义核心价值观、传播中华优秀文化、传播正能量</w:t>
            </w:r>
          </w:p>
        </w:tc>
        <w:tc>
          <w:tcPr>
            <w:tcW w:w="2807" w:type="dxa"/>
            <w:gridSpan w:val="2"/>
            <w:shd w:val="clear" w:color="auto" w:fill="auto"/>
            <w:vAlign w:val="center"/>
          </w:tcPr>
          <w:p>
            <w:pPr>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奖励项目主题涵盖了传播社会主义核心价值观、传播中华优秀文化、传播正能量等，实现了主题丰富。</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7"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项目评审工作公平、公正、公开</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spacing w:line="240" w:lineRule="exact"/>
              <w:rPr>
                <w:rFonts w:ascii="宋体" w:hAnsi="宋体" w:eastAsia="宋体" w:cs="宋体"/>
                <w:color w:val="auto"/>
                <w:kern w:val="0"/>
                <w:szCs w:val="21"/>
              </w:rPr>
            </w:pPr>
            <w:r>
              <w:rPr>
                <w:rFonts w:hint="eastAsia" w:ascii="宋体" w:hAnsi="宋体" w:eastAsia="宋体" w:cs="宋体"/>
                <w:color w:val="auto"/>
                <w:kern w:val="0"/>
                <w:szCs w:val="21"/>
              </w:rPr>
              <w:t>评审专家库，随机抽取行业专家，进行集中评审。项目评审坚持公平、公正、公开原则，包括但不限于材料审核、财务审核、专家评审、质量复核、结果公示、现场踏勘等程序。</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时效</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项目申报</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≤5月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3—4月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初审</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≤7月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6月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专家评审</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≤8月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7月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终审</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8月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2</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评审结果公示</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8月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项目支出</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≤10月</w:t>
            </w:r>
          </w:p>
        </w:tc>
        <w:tc>
          <w:tcPr>
            <w:tcW w:w="248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9月</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成本</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项目奖励扶持资金</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≤3000万元</w:t>
            </w:r>
          </w:p>
        </w:tc>
        <w:tc>
          <w:tcPr>
            <w:tcW w:w="2487"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成本为：2993.3万元，在预算范围内。</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4</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评审专家费</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2.3</w:t>
            </w:r>
            <w:r>
              <w:rPr>
                <w:rFonts w:hint="eastAsia" w:ascii="宋体" w:hAnsi="宋体" w:eastAsia="宋体" w:cs="宋体"/>
                <w:color w:val="auto"/>
                <w:kern w:val="0"/>
                <w:szCs w:val="21"/>
              </w:rPr>
              <w:t>万元</w:t>
            </w:r>
          </w:p>
        </w:tc>
        <w:tc>
          <w:tcPr>
            <w:tcW w:w="2487"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成本为：1.48万元，在预算范围内。</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项目评审活动组织费</w:t>
            </w:r>
          </w:p>
        </w:tc>
        <w:tc>
          <w:tcPr>
            <w:tcW w:w="2807" w:type="dxa"/>
            <w:gridSpan w:val="2"/>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w:t>
            </w:r>
            <w:r>
              <w:rPr>
                <w:rFonts w:ascii="宋体" w:hAnsi="宋体" w:eastAsia="宋体" w:cs="宋体"/>
                <w:color w:val="auto"/>
                <w:kern w:val="0"/>
                <w:szCs w:val="21"/>
              </w:rPr>
              <w:t>66</w:t>
            </w:r>
            <w:r>
              <w:rPr>
                <w:rFonts w:hint="eastAsia" w:ascii="宋体" w:hAnsi="宋体" w:eastAsia="宋体" w:cs="宋体"/>
                <w:color w:val="auto"/>
                <w:kern w:val="0"/>
                <w:szCs w:val="21"/>
              </w:rPr>
              <w:t>万元</w:t>
            </w:r>
          </w:p>
        </w:tc>
        <w:tc>
          <w:tcPr>
            <w:tcW w:w="2487"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成本为：65.55万元，在预算范围内。</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3</w:t>
            </w:r>
          </w:p>
        </w:tc>
        <w:tc>
          <w:tcPr>
            <w:tcW w:w="2049" w:type="dxa"/>
            <w:gridSpan w:val="2"/>
            <w:shd w:val="clear" w:color="auto" w:fill="auto"/>
            <w:vAlign w:val="center"/>
          </w:tcPr>
          <w:p>
            <w:pP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效益</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社会</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效益</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推动媒体关注报道北京广播电视网络视听企业走出去</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left"/>
              <w:textAlignment w:val="center"/>
              <w:rPr>
                <w:rFonts w:ascii="宋体" w:hAnsi="宋体" w:eastAsia="宋体" w:cs="宋体"/>
                <w:color w:val="auto"/>
                <w:kern w:val="0"/>
                <w:szCs w:val="21"/>
              </w:rPr>
            </w:pPr>
            <w:r>
              <w:rPr>
                <w:rFonts w:hint="eastAsia" w:ascii="宋体" w:hAnsi="宋体" w:eastAsia="宋体" w:cs="宋体"/>
                <w:color w:val="auto"/>
                <w:kern w:val="0"/>
                <w:szCs w:val="21"/>
              </w:rPr>
              <w:t>相关媒体对北京视听走出去企业进行了报道。</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8</w:t>
            </w:r>
          </w:p>
        </w:tc>
        <w:tc>
          <w:tcPr>
            <w:tcW w:w="2049" w:type="dxa"/>
            <w:gridSpan w:val="2"/>
            <w:shd w:val="clear" w:color="auto" w:fill="auto"/>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 xml:space="preserve">支持更多企业、更多项目参与走出去 </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支持了更多企业、更多项目参与走出去，推动更多北京广播电视网络视听业务国际化发展。</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rPr>
              <w:t>9</w:t>
            </w:r>
          </w:p>
        </w:tc>
        <w:tc>
          <w:tcPr>
            <w:tcW w:w="2049" w:type="dxa"/>
            <w:gridSpan w:val="2"/>
            <w:shd w:val="clear" w:color="auto" w:fill="auto"/>
            <w:vAlign w:val="center"/>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restart"/>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可持续影响指标</w:t>
            </w: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扶持更多优秀作品“走出去”，讲好中国故事、北京故事</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通过对四个类别项目的奖励，推动广播电视网络视听业讲好“北京故事”，塑造北京文化软实力。</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rPr>
              <w:t>9</w:t>
            </w:r>
          </w:p>
        </w:tc>
        <w:tc>
          <w:tcPr>
            <w:tcW w:w="2049" w:type="dxa"/>
            <w:gridSpan w:val="2"/>
            <w:shd w:val="clear" w:color="auto" w:fill="auto"/>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948" w:type="dxa"/>
            <w:vMerge w:val="continue"/>
            <w:shd w:val="clear" w:color="auto" w:fill="auto"/>
            <w:vAlign w:val="center"/>
          </w:tcPr>
          <w:p>
            <w:pPr>
              <w:widowControl/>
              <w:spacing w:line="240" w:lineRule="exact"/>
              <w:jc w:val="center"/>
              <w:rPr>
                <w:rFonts w:ascii="宋体" w:hAnsi="宋体" w:eastAsia="宋体" w:cs="宋体"/>
                <w:color w:val="auto"/>
                <w:kern w:val="0"/>
                <w:szCs w:val="21"/>
              </w:rPr>
            </w:pP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持续推进国际传播能力建设</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高</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提升了北京广播电视网络视听海外市场盈利能力，推动北京广播电视网络视听节目进入国外主流渠道。</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ascii="宋体" w:hAnsi="宋体" w:eastAsia="宋体" w:cs="宋体"/>
                <w:color w:val="auto"/>
                <w:kern w:val="0"/>
                <w:szCs w:val="21"/>
              </w:rPr>
              <w:t>9</w:t>
            </w:r>
          </w:p>
        </w:tc>
        <w:tc>
          <w:tcPr>
            <w:tcW w:w="2049" w:type="dxa"/>
            <w:gridSpan w:val="2"/>
            <w:shd w:val="clear" w:color="auto" w:fill="auto"/>
          </w:tcPr>
          <w:p>
            <w:pPr>
              <w:jc w:val="left"/>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jc w:val="center"/>
        </w:trPr>
        <w:tc>
          <w:tcPr>
            <w:tcW w:w="578" w:type="dxa"/>
            <w:vMerge w:val="continue"/>
            <w:tcBorders>
              <w:bottom w:val="nil"/>
            </w:tcBorders>
            <w:shd w:val="clear" w:color="auto" w:fill="auto"/>
            <w:vAlign w:val="center"/>
          </w:tcPr>
          <w:p>
            <w:pPr>
              <w:widowControl/>
              <w:spacing w:line="240" w:lineRule="exact"/>
              <w:jc w:val="center"/>
              <w:rPr>
                <w:rFonts w:ascii="宋体" w:hAnsi="宋体" w:eastAsia="宋体" w:cs="宋体"/>
                <w:color w:val="auto"/>
                <w:kern w:val="0"/>
                <w:szCs w:val="21"/>
              </w:rPr>
            </w:pPr>
          </w:p>
        </w:tc>
        <w:tc>
          <w:tcPr>
            <w:tcW w:w="854"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满意度</w:t>
            </w:r>
          </w:p>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指标</w:t>
            </w:r>
          </w:p>
        </w:tc>
        <w:tc>
          <w:tcPr>
            <w:tcW w:w="948"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服务对象满意度指标</w:t>
            </w:r>
          </w:p>
        </w:tc>
        <w:tc>
          <w:tcPr>
            <w:tcW w:w="1238" w:type="dxa"/>
            <w:shd w:val="clear" w:color="auto" w:fill="auto"/>
            <w:vAlign w:val="center"/>
          </w:tcPr>
          <w:p>
            <w:pPr>
              <w:widowControl/>
              <w:spacing w:line="240" w:lineRule="exact"/>
              <w:jc w:val="left"/>
              <w:rPr>
                <w:rFonts w:ascii="宋体" w:hAnsi="宋体" w:eastAsia="宋体" w:cs="宋体"/>
                <w:color w:val="auto"/>
                <w:kern w:val="0"/>
                <w:szCs w:val="21"/>
              </w:rPr>
            </w:pPr>
            <w:r>
              <w:rPr>
                <w:rFonts w:hint="eastAsia" w:ascii="宋体" w:hAnsi="宋体" w:eastAsia="宋体" w:cs="宋体"/>
                <w:color w:val="auto"/>
                <w:kern w:val="0"/>
                <w:szCs w:val="21"/>
              </w:rPr>
              <w:t>企业对项目组织工作的满意度</w:t>
            </w:r>
          </w:p>
        </w:tc>
        <w:tc>
          <w:tcPr>
            <w:tcW w:w="2807" w:type="dxa"/>
            <w:gridSpan w:val="2"/>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≥90%</w:t>
            </w:r>
          </w:p>
        </w:tc>
        <w:tc>
          <w:tcPr>
            <w:tcW w:w="2487" w:type="dxa"/>
            <w:shd w:val="clear" w:color="auto" w:fill="auto"/>
            <w:vAlign w:val="center"/>
          </w:tcPr>
          <w:p>
            <w:pPr>
              <w:widowControl/>
              <w:jc w:val="both"/>
              <w:textAlignment w:val="center"/>
              <w:rPr>
                <w:rFonts w:ascii="宋体" w:hAnsi="宋体" w:eastAsia="宋体" w:cs="宋体"/>
                <w:color w:val="auto"/>
                <w:kern w:val="0"/>
                <w:szCs w:val="21"/>
              </w:rPr>
            </w:pPr>
            <w:r>
              <w:rPr>
                <w:rFonts w:hint="eastAsia" w:ascii="宋体" w:hAnsi="宋体" w:eastAsia="宋体" w:cs="宋体"/>
                <w:color w:val="auto"/>
                <w:kern w:val="0"/>
                <w:szCs w:val="21"/>
              </w:rPr>
              <w:t>企业对项目工作认可度不断提高，满意度达到基本达到</w:t>
            </w:r>
            <w:r>
              <w:rPr>
                <w:rFonts w:ascii="宋体" w:hAnsi="宋体" w:eastAsia="宋体" w:cs="宋体"/>
                <w:color w:val="auto"/>
                <w:kern w:val="0"/>
                <w:szCs w:val="21"/>
              </w:rPr>
              <w:t>90%</w:t>
            </w:r>
            <w:r>
              <w:rPr>
                <w:rFonts w:hint="eastAsia" w:ascii="宋体" w:hAnsi="宋体" w:eastAsia="宋体" w:cs="宋体"/>
                <w:color w:val="auto"/>
                <w:kern w:val="0"/>
                <w:szCs w:val="21"/>
              </w:rPr>
              <w:t>。</w:t>
            </w:r>
          </w:p>
        </w:tc>
        <w:tc>
          <w:tcPr>
            <w:tcW w:w="647"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1621" w:type="dxa"/>
            <w:shd w:val="clear" w:color="auto" w:fill="auto"/>
            <w:vAlign w:val="center"/>
          </w:tcPr>
          <w:p>
            <w:pPr>
              <w:widowControl/>
              <w:jc w:val="center"/>
              <w:textAlignment w:val="center"/>
              <w:rPr>
                <w:rFonts w:ascii="宋体" w:hAnsi="宋体" w:eastAsia="宋体" w:cs="宋体"/>
                <w:color w:val="auto"/>
                <w:kern w:val="0"/>
                <w:szCs w:val="21"/>
              </w:rPr>
            </w:pPr>
            <w:r>
              <w:rPr>
                <w:rFonts w:hint="eastAsia" w:ascii="宋体" w:hAnsi="宋体" w:eastAsia="宋体" w:cs="宋体"/>
                <w:color w:val="auto"/>
                <w:kern w:val="0"/>
                <w:szCs w:val="21"/>
              </w:rPr>
              <w:t>10</w:t>
            </w:r>
          </w:p>
        </w:tc>
        <w:tc>
          <w:tcPr>
            <w:tcW w:w="2049" w:type="dxa"/>
            <w:gridSpan w:val="2"/>
            <w:shd w:val="clear" w:color="auto" w:fill="auto"/>
            <w:vAlign w:val="center"/>
          </w:tcPr>
          <w:p>
            <w:pPr>
              <w:widowControl/>
              <w:jc w:val="left"/>
              <w:textAlignment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912" w:type="dxa"/>
            <w:gridSpan w:val="7"/>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总分</w:t>
            </w:r>
          </w:p>
        </w:tc>
        <w:tc>
          <w:tcPr>
            <w:tcW w:w="647"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100</w:t>
            </w:r>
          </w:p>
        </w:tc>
        <w:tc>
          <w:tcPr>
            <w:tcW w:w="1621" w:type="dxa"/>
            <w:shd w:val="clear" w:color="auto" w:fill="auto"/>
            <w:vAlign w:val="center"/>
          </w:tcPr>
          <w:p>
            <w:pPr>
              <w:widowControl/>
              <w:spacing w:line="240" w:lineRule="exact"/>
              <w:jc w:val="center"/>
              <w:rPr>
                <w:rFonts w:ascii="宋体" w:hAnsi="宋体" w:eastAsia="宋体" w:cs="宋体"/>
                <w:color w:val="auto"/>
                <w:kern w:val="0"/>
                <w:szCs w:val="21"/>
              </w:rPr>
            </w:pPr>
            <w:r>
              <w:rPr>
                <w:rFonts w:hint="eastAsia" w:ascii="宋体" w:hAnsi="宋体" w:eastAsia="宋体" w:cs="宋体"/>
                <w:color w:val="auto"/>
                <w:kern w:val="0"/>
                <w:szCs w:val="21"/>
              </w:rPr>
              <w:t>9</w:t>
            </w:r>
            <w:r>
              <w:rPr>
                <w:rFonts w:ascii="宋体" w:hAnsi="宋体" w:eastAsia="宋体" w:cs="宋体"/>
                <w:color w:val="auto"/>
                <w:kern w:val="0"/>
                <w:szCs w:val="21"/>
              </w:rPr>
              <w:t>4</w:t>
            </w:r>
            <w:r>
              <w:rPr>
                <w:rFonts w:hint="eastAsia" w:ascii="宋体" w:hAnsi="宋体" w:eastAsia="宋体" w:cs="宋体"/>
                <w:color w:val="auto"/>
                <w:kern w:val="0"/>
                <w:szCs w:val="21"/>
              </w:rPr>
              <w:t>.97</w:t>
            </w:r>
          </w:p>
        </w:tc>
        <w:tc>
          <w:tcPr>
            <w:tcW w:w="2049" w:type="dxa"/>
            <w:gridSpan w:val="2"/>
            <w:shd w:val="clear" w:color="auto" w:fill="auto"/>
            <w:vAlign w:val="center"/>
          </w:tcPr>
          <w:p>
            <w:pPr>
              <w:widowControl/>
              <w:spacing w:line="240" w:lineRule="exact"/>
              <w:jc w:val="center"/>
              <w:rPr>
                <w:rFonts w:ascii="宋体" w:hAnsi="宋体" w:eastAsia="宋体" w:cs="宋体"/>
                <w:color w:val="auto"/>
                <w:kern w:val="0"/>
                <w:szCs w:val="21"/>
              </w:rPr>
            </w:pPr>
          </w:p>
        </w:tc>
      </w:tr>
    </w:tbl>
    <w:p>
      <w:bookmarkStart w:id="0" w:name="_GoBack"/>
      <w:bookmarkEnd w:id="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4257457"/>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3E1BB0"/>
    <w:rsid w:val="000A11FC"/>
    <w:rsid w:val="000B6400"/>
    <w:rsid w:val="000D27A4"/>
    <w:rsid w:val="00113863"/>
    <w:rsid w:val="0013290A"/>
    <w:rsid w:val="00185DAB"/>
    <w:rsid w:val="001911B2"/>
    <w:rsid w:val="001D68DD"/>
    <w:rsid w:val="002312CA"/>
    <w:rsid w:val="002475CF"/>
    <w:rsid w:val="00252C5B"/>
    <w:rsid w:val="00274471"/>
    <w:rsid w:val="002D6936"/>
    <w:rsid w:val="00355867"/>
    <w:rsid w:val="00375A6A"/>
    <w:rsid w:val="00394049"/>
    <w:rsid w:val="003E1BB0"/>
    <w:rsid w:val="00406ABE"/>
    <w:rsid w:val="004944BF"/>
    <w:rsid w:val="004B38D0"/>
    <w:rsid w:val="0051228C"/>
    <w:rsid w:val="005213CE"/>
    <w:rsid w:val="00590599"/>
    <w:rsid w:val="005E71FC"/>
    <w:rsid w:val="00606871"/>
    <w:rsid w:val="006A355E"/>
    <w:rsid w:val="006D06CB"/>
    <w:rsid w:val="007132AC"/>
    <w:rsid w:val="00751AB2"/>
    <w:rsid w:val="00757BFB"/>
    <w:rsid w:val="007F4B4F"/>
    <w:rsid w:val="00831D80"/>
    <w:rsid w:val="008761BC"/>
    <w:rsid w:val="008B3098"/>
    <w:rsid w:val="008E0A15"/>
    <w:rsid w:val="008F6EDC"/>
    <w:rsid w:val="00915782"/>
    <w:rsid w:val="009301B0"/>
    <w:rsid w:val="009372D0"/>
    <w:rsid w:val="009A37CA"/>
    <w:rsid w:val="00A9704B"/>
    <w:rsid w:val="00AE5FAD"/>
    <w:rsid w:val="00B75391"/>
    <w:rsid w:val="00BA43A8"/>
    <w:rsid w:val="00C01ED6"/>
    <w:rsid w:val="00D748DF"/>
    <w:rsid w:val="00E716A0"/>
    <w:rsid w:val="00E96CE6"/>
    <w:rsid w:val="00F27B21"/>
    <w:rsid w:val="00F77844"/>
    <w:rsid w:val="00F867FA"/>
    <w:rsid w:val="0EF3685E"/>
    <w:rsid w:val="0F9F78DF"/>
    <w:rsid w:val="13E56991"/>
    <w:rsid w:val="1AD35795"/>
    <w:rsid w:val="1CCE4E3D"/>
    <w:rsid w:val="20700196"/>
    <w:rsid w:val="2128370D"/>
    <w:rsid w:val="215F7D83"/>
    <w:rsid w:val="22FC261C"/>
    <w:rsid w:val="23D83E1C"/>
    <w:rsid w:val="2ABE1FBE"/>
    <w:rsid w:val="2D1C7470"/>
    <w:rsid w:val="34500B03"/>
    <w:rsid w:val="35015848"/>
    <w:rsid w:val="3889309D"/>
    <w:rsid w:val="3AD924FC"/>
    <w:rsid w:val="3C642299"/>
    <w:rsid w:val="3CC77862"/>
    <w:rsid w:val="3D7B789B"/>
    <w:rsid w:val="4B041B8D"/>
    <w:rsid w:val="4C5639AD"/>
    <w:rsid w:val="507A1C34"/>
    <w:rsid w:val="54ED0C26"/>
    <w:rsid w:val="57560D05"/>
    <w:rsid w:val="5E7D5F70"/>
    <w:rsid w:val="6233281E"/>
    <w:rsid w:val="64750ED9"/>
    <w:rsid w:val="67672ABA"/>
    <w:rsid w:val="681A16D8"/>
    <w:rsid w:val="6BAD5745"/>
    <w:rsid w:val="750741FE"/>
    <w:rsid w:val="79646E59"/>
    <w:rsid w:val="7A6C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kern w:val="2"/>
      <w:sz w:val="18"/>
      <w:szCs w:val="18"/>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252</Words>
  <Characters>1442</Characters>
  <Lines>12</Lines>
  <Paragraphs>3</Paragraphs>
  <TotalTime>1</TotalTime>
  <ScaleCrop>false</ScaleCrop>
  <LinksUpToDate>false</LinksUpToDate>
  <CharactersWithSpaces>1691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2023-05-06T14:25:00Z</dcterms:created>
  <dc:creator>孟 宁</dc:creator>
  <cp:lastModifiedBy>lzc</cp:lastModifiedBy>
  <dcterms:modified xsi:type="dcterms:W3CDTF">2023-08-17T06:30:27Z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342F1B26770442E99C7EB7D1187FAAC2_12</vt:lpwstr>
  </property>
</Properties>
</file>