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859A1">
      <w:pPr>
        <w:pStyle w:val="2"/>
        <w:rPr>
          <w:rFonts w:hint="eastAsia"/>
        </w:rPr>
      </w:pPr>
      <w:bookmarkStart w:id="6" w:name="_GoBack"/>
      <w:bookmarkStart w:id="0" w:name="_Toc190102957"/>
      <w:bookmarkStart w:id="1" w:name="_Toc226469596"/>
      <w:r>
        <w:t>北京广播电视网络视听发展基金</w:t>
      </w:r>
      <w:bookmarkEnd w:id="0"/>
      <w:bookmarkEnd w:id="1"/>
      <w:bookmarkStart w:id="2" w:name="bookmark5"/>
      <w:bookmarkEnd w:id="2"/>
    </w:p>
    <w:p w14:paraId="779363DB">
      <w:pPr>
        <w:pStyle w:val="2"/>
        <w:rPr>
          <w:rFonts w:hint="eastAsia"/>
        </w:rPr>
      </w:pPr>
      <w:bookmarkStart w:id="3" w:name="_Toc226469597"/>
      <w:bookmarkStart w:id="4" w:name="_Toc190102958"/>
      <w:r>
        <w:t>优秀广播电视节目申报说明</w:t>
      </w:r>
      <w:bookmarkEnd w:id="3"/>
      <w:bookmarkEnd w:id="4"/>
    </w:p>
    <w:bookmarkEnd w:id="6"/>
    <w:p w14:paraId="6C6AB7C0">
      <w:pPr>
        <w:kinsoku w:val="0"/>
        <w:overflowPunct w:val="0"/>
        <w:autoSpaceDE w:val="0"/>
        <w:autoSpaceDN w:val="0"/>
        <w:adjustRightInd w:val="0"/>
        <w:snapToGrid w:val="0"/>
        <w:spacing w:after="0" w:line="600" w:lineRule="exact"/>
        <w:ind w:firstLine="420" w:firstLineChars="200"/>
        <w:textAlignment w:val="baseline"/>
        <w:rPr>
          <w:rFonts w:ascii="Arial" w:hAnsi="Arial" w:eastAsia="Arial" w:cs="Arial"/>
          <w:snapToGrid w:val="0"/>
          <w:kern w:val="0"/>
          <w:szCs w:val="21"/>
        </w:rPr>
      </w:pPr>
    </w:p>
    <w:p w14:paraId="55182FDE">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根据《北京广播电视网络视听发展基金章程》，结合本市优秀广播电视节目创作生产实际，制定本申报说明。</w:t>
      </w:r>
    </w:p>
    <w:p w14:paraId="1BF13FE0">
      <w:pPr>
        <w:kinsoku w:val="0"/>
        <w:overflowPunct w:val="0"/>
        <w:autoSpaceDE w:val="0"/>
        <w:autoSpaceDN w:val="0"/>
        <w:adjustRightInd w:val="0"/>
        <w:snapToGrid w:val="0"/>
        <w:spacing w:after="0" w:line="60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一、申报条件</w:t>
      </w:r>
    </w:p>
    <w:p w14:paraId="112C4141">
      <w:pPr>
        <w:kinsoku w:val="0"/>
        <w:overflowPunct w:val="0"/>
        <w:autoSpaceDE w:val="0"/>
        <w:autoSpaceDN w:val="0"/>
        <w:adjustRightInd w:val="0"/>
        <w:snapToGrid w:val="0"/>
        <w:spacing w:after="0" w:line="60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（一）主体资质</w:t>
      </w:r>
    </w:p>
    <w:p w14:paraId="69D01C06">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hint="eastAsia" w:ascii="仿宋_GB2312" w:hAnsi="仿宋_GB2312" w:eastAsia="仿宋_GB2312" w:cs="仿宋_GB2312"/>
          <w:snapToGrid w:val="0"/>
          <w:kern w:val="0"/>
          <w:sz w:val="31"/>
          <w:szCs w:val="31"/>
        </w:rPr>
        <w:t>在北京注册的广播电视制作播出机构及网络视听节目服务机构机构；</w:t>
      </w:r>
      <w:r>
        <w:rPr>
          <w:rFonts w:ascii="仿宋_GB2312" w:hAnsi="仿宋_GB2312" w:eastAsia="仿宋_GB2312" w:cs="仿宋_GB2312"/>
          <w:snapToGrid w:val="0"/>
          <w:kern w:val="0"/>
          <w:sz w:val="31"/>
          <w:szCs w:val="31"/>
        </w:rPr>
        <w:t>申报主体须为承担主要法律责任者，且拥有该作品的出品权和评奖申报权、荣誉权。</w:t>
      </w:r>
    </w:p>
    <w:p w14:paraId="6FD001F8">
      <w:pPr>
        <w:kinsoku w:val="0"/>
        <w:overflowPunct w:val="0"/>
        <w:autoSpaceDE w:val="0"/>
        <w:autoSpaceDN w:val="0"/>
        <w:adjustRightInd w:val="0"/>
        <w:snapToGrid w:val="0"/>
        <w:spacing w:after="0" w:line="60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（二）项目资质</w:t>
      </w:r>
    </w:p>
    <w:p w14:paraId="19E88799">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参评作品应为申报周期内创作生产的广播节目（</w:t>
      </w:r>
      <w:r>
        <w:rPr>
          <w:rFonts w:hint="eastAsia" w:ascii="仿宋_GB2312" w:hAnsi="仿宋_GB2312" w:eastAsia="仿宋_GB2312" w:cs="仿宋_GB2312"/>
          <w:snapToGrid w:val="0"/>
          <w:kern w:val="0"/>
          <w:sz w:val="31"/>
          <w:szCs w:val="31"/>
        </w:rPr>
        <w:t>含广播剧、网络音频节目及有声剧</w:t>
      </w:r>
      <w:r>
        <w:rPr>
          <w:rFonts w:ascii="仿宋_GB2312" w:hAnsi="仿宋_GB2312" w:eastAsia="仿宋_GB2312" w:cs="仿宋_GB2312"/>
          <w:snapToGrid w:val="0"/>
          <w:kern w:val="0"/>
          <w:sz w:val="31"/>
          <w:szCs w:val="31"/>
        </w:rPr>
        <w:t>）、电视节目。创作版权及全国奖项报奖权归</w:t>
      </w:r>
      <w:r>
        <w:rPr>
          <w:rFonts w:hint="eastAsia" w:ascii="仿宋_GB2312" w:hAnsi="仿宋_GB2312" w:eastAsia="仿宋_GB2312" w:cs="仿宋_GB2312"/>
          <w:snapToGrid w:val="0"/>
          <w:kern w:val="0"/>
          <w:sz w:val="31"/>
          <w:szCs w:val="31"/>
        </w:rPr>
        <w:t>北京市</w:t>
      </w:r>
      <w:r>
        <w:rPr>
          <w:rFonts w:ascii="仿宋_GB2312" w:hAnsi="仿宋_GB2312" w:eastAsia="仿宋_GB2312" w:cs="仿宋_GB2312"/>
          <w:snapToGrid w:val="0"/>
          <w:kern w:val="0"/>
          <w:sz w:val="31"/>
          <w:szCs w:val="31"/>
        </w:rPr>
        <w:t>所有。</w:t>
      </w:r>
    </w:p>
    <w:p w14:paraId="08A6BFD8">
      <w:pPr>
        <w:kinsoku w:val="0"/>
        <w:overflowPunct w:val="0"/>
        <w:autoSpaceDE w:val="0"/>
        <w:autoSpaceDN w:val="0"/>
        <w:adjustRightInd w:val="0"/>
        <w:snapToGrid w:val="0"/>
        <w:spacing w:after="0" w:line="60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二、资助类别</w:t>
      </w:r>
    </w:p>
    <w:p w14:paraId="001A6AFC">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北京广播电视网络视听发展基金优秀广播电视节目分为补贴和奖励两类。</w:t>
      </w:r>
    </w:p>
    <w:p w14:paraId="1086EACA">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（一）补贴。申报项目类别为广播节目（含广播剧</w:t>
      </w:r>
      <w:r>
        <w:rPr>
          <w:rFonts w:hint="eastAsia" w:ascii="仿宋_GB2312" w:hAnsi="仿宋_GB2312" w:eastAsia="仿宋_GB2312" w:cs="仿宋_GB2312"/>
          <w:snapToGrid w:val="0"/>
          <w:kern w:val="0"/>
          <w:sz w:val="31"/>
          <w:szCs w:val="31"/>
        </w:rPr>
        <w:t>、网络音频节目及有声剧</w:t>
      </w:r>
      <w:r>
        <w:rPr>
          <w:rFonts w:ascii="仿宋_GB2312" w:hAnsi="仿宋_GB2312" w:eastAsia="仿宋_GB2312" w:cs="仿宋_GB2312"/>
          <w:snapToGrid w:val="0"/>
          <w:kern w:val="0"/>
          <w:sz w:val="31"/>
          <w:szCs w:val="31"/>
        </w:rPr>
        <w:t>）、电视节目。</w:t>
      </w:r>
    </w:p>
    <w:p w14:paraId="22EA056D">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spacing w:val="-4"/>
          <w:kern w:val="0"/>
          <w:sz w:val="31"/>
          <w:szCs w:val="31"/>
        </w:rPr>
      </w:pPr>
      <w:r>
        <w:rPr>
          <w:rFonts w:ascii="仿宋_GB2312" w:hAnsi="仿宋_GB2312" w:eastAsia="仿宋_GB2312" w:cs="仿宋_GB2312"/>
          <w:snapToGrid w:val="0"/>
          <w:kern w:val="0"/>
          <w:sz w:val="31"/>
          <w:szCs w:val="31"/>
        </w:rPr>
        <w:t>（二）奖励。</w:t>
      </w:r>
      <w:r>
        <w:rPr>
          <w:rFonts w:ascii="仿宋_GB2312" w:hAnsi="仿宋_GB2312" w:eastAsia="仿宋_GB2312" w:cs="仿宋_GB2312"/>
          <w:snapToGrid w:val="0"/>
          <w:spacing w:val="-4"/>
          <w:kern w:val="0"/>
          <w:sz w:val="31"/>
          <w:szCs w:val="31"/>
        </w:rPr>
        <w:t>申报项目类别为广播节目（含广播剧</w:t>
      </w:r>
      <w:r>
        <w:rPr>
          <w:rFonts w:hint="eastAsia" w:ascii="仿宋_GB2312" w:hAnsi="仿宋_GB2312" w:eastAsia="仿宋_GB2312" w:cs="仿宋_GB2312"/>
          <w:snapToGrid w:val="0"/>
          <w:spacing w:val="-4"/>
          <w:kern w:val="0"/>
          <w:sz w:val="31"/>
          <w:szCs w:val="31"/>
        </w:rPr>
        <w:t>、网络音频节目及有声剧</w:t>
      </w:r>
      <w:r>
        <w:rPr>
          <w:rFonts w:ascii="仿宋_GB2312" w:hAnsi="仿宋_GB2312" w:eastAsia="仿宋_GB2312" w:cs="仿宋_GB2312"/>
          <w:snapToGrid w:val="0"/>
          <w:spacing w:val="-4"/>
          <w:kern w:val="0"/>
          <w:sz w:val="31"/>
          <w:szCs w:val="31"/>
        </w:rPr>
        <w:t>）、电视节目。申报项目已制作完成并在中央广播电视总台、北京广播电视台等省级及以上</w:t>
      </w:r>
      <w:r>
        <w:rPr>
          <w:rFonts w:hint="eastAsia" w:ascii="仿宋_GB2312" w:hAnsi="仿宋_GB2312" w:eastAsia="仿宋_GB2312" w:cs="仿宋_GB2312"/>
          <w:snapToGrid w:val="0"/>
          <w:spacing w:val="-4"/>
          <w:kern w:val="0"/>
          <w:sz w:val="31"/>
          <w:szCs w:val="31"/>
        </w:rPr>
        <w:t>广播电视媒体或重点网络视听平台完成全片播出</w:t>
      </w:r>
      <w:r>
        <w:rPr>
          <w:rFonts w:ascii="仿宋_GB2312" w:hAnsi="仿宋_GB2312" w:eastAsia="仿宋_GB2312" w:cs="仿宋_GB2312"/>
          <w:snapToGrid w:val="0"/>
          <w:spacing w:val="-4"/>
          <w:kern w:val="0"/>
          <w:sz w:val="31"/>
          <w:szCs w:val="31"/>
        </w:rPr>
        <w:t>且社会舆论评价良好。</w:t>
      </w:r>
    </w:p>
    <w:p w14:paraId="06DEF7BB">
      <w:pPr>
        <w:kinsoku w:val="0"/>
        <w:overflowPunct w:val="0"/>
        <w:autoSpaceDE w:val="0"/>
        <w:autoSpaceDN w:val="0"/>
        <w:adjustRightInd w:val="0"/>
        <w:snapToGrid w:val="0"/>
        <w:spacing w:after="0" w:line="60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三、申报材料</w:t>
      </w:r>
    </w:p>
    <w:p w14:paraId="32D2716A">
      <w:pPr>
        <w:kinsoku w:val="0"/>
        <w:overflowPunct w:val="0"/>
        <w:autoSpaceDE w:val="0"/>
        <w:autoSpaceDN w:val="0"/>
        <w:adjustRightInd w:val="0"/>
        <w:snapToGrid w:val="0"/>
        <w:spacing w:after="0" w:line="600" w:lineRule="exact"/>
        <w:ind w:firstLine="622" w:firstLineChars="200"/>
        <w:textAlignment w:val="baseline"/>
        <w:rPr>
          <w:rFonts w:hint="eastAsia" w:ascii="仿宋_GB2312" w:hAnsi="仿宋_GB2312" w:eastAsia="仿宋_GB2312" w:cs="仿宋_GB2312"/>
          <w:snapToGrid w:val="0"/>
          <w:kern w:val="0"/>
          <w:sz w:val="31"/>
          <w:szCs w:val="31"/>
        </w:rPr>
      </w:pPr>
      <w:bookmarkStart w:id="5" w:name="bookmark14"/>
      <w:bookmarkEnd w:id="5"/>
      <w:r>
        <w:rPr>
          <w:rFonts w:ascii="仿宋_GB2312" w:hAnsi="仿宋_GB2312" w:eastAsia="仿宋_GB2312" w:cs="仿宋_GB2312"/>
          <w:b/>
          <w:bCs/>
          <w:snapToGrid w:val="0"/>
          <w:kern w:val="0"/>
          <w:sz w:val="31"/>
          <w:szCs w:val="31"/>
        </w:rPr>
        <w:t>（一）材料内容</w:t>
      </w:r>
    </w:p>
    <w:p w14:paraId="4E55B6FD">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1.《北京广播电视网络视听发展基金优秀广播电视节目申请表》；</w:t>
      </w:r>
    </w:p>
    <w:p w14:paraId="4959ECB0">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2.《广播电视节目制作经营许可证》扫描件；</w:t>
      </w:r>
    </w:p>
    <w:p w14:paraId="19DA018B">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3.其它相关资料：</w:t>
      </w:r>
    </w:p>
    <w:p w14:paraId="5B79F0A9">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(1)补贴项目：提供完整策划方案、单集推演、拍摄计划、主创及嘉宾名单、资金落实情况说明</w:t>
      </w:r>
      <w:r>
        <w:rPr>
          <w:rFonts w:hint="eastAsia" w:ascii="仿宋_GB2312" w:hAnsi="仿宋_GB2312" w:eastAsia="仿宋_GB2312" w:cs="仿宋_GB2312"/>
          <w:snapToGrid w:val="0"/>
          <w:kern w:val="0"/>
          <w:sz w:val="31"/>
          <w:szCs w:val="31"/>
        </w:rPr>
        <w:t>，如有宣传片或样片可一并提供</w:t>
      </w:r>
      <w:r>
        <w:rPr>
          <w:rFonts w:ascii="仿宋_GB2312" w:hAnsi="仿宋_GB2312" w:eastAsia="仿宋_GB2312" w:cs="仿宋_GB2312"/>
          <w:snapToGrid w:val="0"/>
          <w:kern w:val="0"/>
          <w:sz w:val="31"/>
          <w:szCs w:val="31"/>
        </w:rPr>
        <w:t>。</w:t>
      </w:r>
    </w:p>
    <w:p w14:paraId="701261F4">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(2)奖励项目：作品完整</w:t>
      </w:r>
      <w:r>
        <w:rPr>
          <w:rFonts w:hint="eastAsia" w:ascii="仿宋_GB2312" w:hAnsi="仿宋_GB2312" w:eastAsia="仿宋_GB2312" w:cs="仿宋_GB2312"/>
          <w:snapToGrid w:val="0"/>
          <w:kern w:val="0"/>
          <w:sz w:val="31"/>
          <w:szCs w:val="31"/>
        </w:rPr>
        <w:t>音</w:t>
      </w:r>
      <w:r>
        <w:rPr>
          <w:rFonts w:ascii="仿宋_GB2312" w:hAnsi="仿宋_GB2312" w:eastAsia="仿宋_GB2312" w:cs="仿宋_GB2312"/>
          <w:snapToGrid w:val="0"/>
          <w:kern w:val="0"/>
          <w:sz w:val="31"/>
          <w:szCs w:val="31"/>
        </w:rPr>
        <w:t>视频</w:t>
      </w:r>
      <w:r>
        <w:rPr>
          <w:rFonts w:hint="eastAsia" w:ascii="仿宋_GB2312" w:hAnsi="仿宋_GB2312" w:eastAsia="仿宋_GB2312" w:cs="仿宋_GB2312"/>
          <w:snapToGrid w:val="0"/>
          <w:kern w:val="0"/>
          <w:sz w:val="31"/>
          <w:szCs w:val="31"/>
        </w:rPr>
        <w:t>（节目期数较多的节目需至少提供20期节目完整样片）</w:t>
      </w:r>
      <w:r>
        <w:rPr>
          <w:rFonts w:ascii="仿宋_GB2312" w:hAnsi="仿宋_GB2312" w:eastAsia="仿宋_GB2312" w:cs="仿宋_GB2312"/>
          <w:snapToGrid w:val="0"/>
          <w:kern w:val="0"/>
          <w:sz w:val="31"/>
          <w:szCs w:val="31"/>
        </w:rPr>
        <w:t>、海报、宣传及获奖材料，包括但不限于在人民日报、光明日报、北京日报等省级以上纸媒上发表至少一篇评论文章或信息的复印件或截图；在人民网、光明网、国家广电智库、广电时评、首都广电等新媒体平台或账号上发表不少于3篇评论文章或信息的复印件或截图；有行业主管部门指导的、具有较高水准的专家研讨会宣传稿、照片；获得“五个一工程”、星光奖等国家级奖项，获得总局推优，列入总局、北京市重点项目片单等各类推优评奖的证明等材料。</w:t>
      </w:r>
    </w:p>
    <w:p w14:paraId="0C44B053">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4.承诺书：</w:t>
      </w:r>
    </w:p>
    <w:p w14:paraId="422D1C2C">
      <w:pPr>
        <w:kinsoku w:val="0"/>
        <w:overflowPunct w:val="0"/>
        <w:autoSpaceDE w:val="0"/>
        <w:autoSpaceDN w:val="0"/>
        <w:adjustRightInd w:val="0"/>
        <w:snapToGrid w:val="0"/>
        <w:spacing w:after="0" w:line="600" w:lineRule="exact"/>
        <w:ind w:firstLine="640" w:firstLineChars="200"/>
        <w:textAlignment w:val="baseline"/>
        <w:rPr>
          <w:rFonts w:hint="eastAsia" w:ascii="仿宋_GB2312" w:hAnsi="仿宋_GB2312" w:eastAsia="仿宋_GB2312" w:cs="仿宋_GB2312"/>
          <w:snapToGrid w:val="0"/>
          <w:kern w:val="0"/>
          <w:sz w:val="31"/>
          <w:szCs w:val="31"/>
        </w:rPr>
      </w:pPr>
      <w:r>
        <w:rPr>
          <w:rFonts w:hint="eastAsia" w:ascii="仿宋_GB2312" w:hAnsi="仿宋" w:eastAsia="仿宋_GB2312" w:cs="Times New Roman"/>
          <w:sz w:val="32"/>
          <w:szCs w:val="32"/>
        </w:rPr>
        <w:t>内容包括全国性评奖申报权归属北京市，申报单位三年内无严重违法违规行为，主要演员片酬占比说明，</w:t>
      </w:r>
      <w:r>
        <w:rPr>
          <w:rFonts w:hint="eastAsia" w:ascii="仿宋_GB2312" w:hAnsi="仿宋_GB2312" w:eastAsia="仿宋_GB2312" w:cs="仿宋_GB2312"/>
          <w:sz w:val="32"/>
          <w:szCs w:val="32"/>
        </w:rPr>
        <w:t>作品主创人员无劣迹，</w:t>
      </w:r>
      <w:r>
        <w:rPr>
          <w:rFonts w:hint="eastAsia" w:ascii="仿宋_GB2312" w:hAnsi="仿宋" w:eastAsia="仿宋_GB2312" w:cs="Times New Roman"/>
          <w:sz w:val="32"/>
          <w:szCs w:val="32"/>
        </w:rPr>
        <w:t>依法履行版权保护义务等。</w:t>
      </w:r>
    </w:p>
    <w:p w14:paraId="579E8A6A">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5.信用证明：</w:t>
      </w:r>
    </w:p>
    <w:p w14:paraId="7830FAD1">
      <w:pPr>
        <w:kinsoku w:val="0"/>
        <w:overflowPunct w:val="0"/>
        <w:autoSpaceDE w:val="0"/>
        <w:autoSpaceDN w:val="0"/>
        <w:adjustRightInd w:val="0"/>
        <w:snapToGrid w:val="0"/>
        <w:spacing w:after="0" w:line="600" w:lineRule="exact"/>
        <w:ind w:firstLine="620" w:firstLineChars="200"/>
        <w:textAlignment w:val="baseline"/>
        <w:rPr>
          <w:rFonts w:ascii="Arial" w:hAnsi="Arial" w:eastAsia="Arial" w:cs="Arial"/>
          <w:snapToGrid w:val="0"/>
          <w:kern w:val="0"/>
          <w:szCs w:val="21"/>
        </w:rPr>
      </w:pPr>
      <w:r>
        <w:rPr>
          <w:rFonts w:ascii="仿宋_GB2312" w:hAnsi="仿宋_GB2312" w:eastAsia="仿宋_GB2312" w:cs="仿宋_GB2312"/>
          <w:snapToGrid w:val="0"/>
          <w:kern w:val="0"/>
          <w:sz w:val="31"/>
          <w:szCs w:val="31"/>
        </w:rPr>
        <w:t>（1）上一年度财务审计报告或上一年度财务报表</w:t>
      </w:r>
    </w:p>
    <w:p w14:paraId="0A131CDD">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（2）在中国执行信息公开网</w:t>
      </w:r>
    </w:p>
    <w:p w14:paraId="1A47045B">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w:t>
      </w:r>
      <w:r>
        <w:fldChar w:fldCharType="begin"/>
      </w:r>
      <w:r>
        <w:instrText xml:space="preserve"> HYPERLINK "http://zxgk.court.gov" </w:instrText>
      </w:r>
      <w:r>
        <w:fldChar w:fldCharType="separate"/>
      </w:r>
      <w:r>
        <w:rPr>
          <w:rFonts w:ascii="仿宋_GB2312" w:hAnsi="仿宋_GB2312" w:eastAsia="仿宋_GB2312" w:cs="仿宋_GB2312"/>
          <w:snapToGrid w:val="0"/>
          <w:kern w:val="0"/>
          <w:sz w:val="31"/>
          <w:szCs w:val="31"/>
        </w:rPr>
        <w:t>http://zxgk.court.gov</w:t>
      </w:r>
      <w:r>
        <w:rPr>
          <w:rFonts w:ascii="仿宋_GB2312" w:hAnsi="仿宋_GB2312" w:eastAsia="仿宋_GB2312" w:cs="仿宋_GB2312"/>
          <w:snapToGrid w:val="0"/>
          <w:kern w:val="0"/>
          <w:sz w:val="31"/>
          <w:szCs w:val="31"/>
        </w:rPr>
        <w:fldChar w:fldCharType="end"/>
      </w:r>
      <w:r>
        <w:rPr>
          <w:rFonts w:ascii="仿宋_GB2312" w:hAnsi="仿宋_GB2312" w:eastAsia="仿宋_GB2312" w:cs="仿宋_GB2312"/>
          <w:snapToGrid w:val="0"/>
          <w:kern w:val="0"/>
          <w:sz w:val="31"/>
          <w:szCs w:val="31"/>
        </w:rPr>
        <w:t>.cn/shixin/）失信被执行人查询截图。</w:t>
      </w:r>
    </w:p>
    <w:p w14:paraId="317EE822">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申报单位必须如实提供申报材料，北京广播电视网络视听发展基金将对申请材料的完整性和真实性进行审核。</w:t>
      </w:r>
    </w:p>
    <w:p w14:paraId="6C9C285B">
      <w:pPr>
        <w:kinsoku w:val="0"/>
        <w:overflowPunct w:val="0"/>
        <w:autoSpaceDE w:val="0"/>
        <w:autoSpaceDN w:val="0"/>
        <w:adjustRightInd w:val="0"/>
        <w:snapToGrid w:val="0"/>
        <w:spacing w:after="0" w:line="60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（二）材料格式</w:t>
      </w:r>
    </w:p>
    <w:p w14:paraId="3DC51A41">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以上材料除视频样片外均需通过京策平台提交。京策平台申报网址：</w:t>
      </w:r>
    </w:p>
    <w:p w14:paraId="4D8CF85E">
      <w:pPr>
        <w:widowControl/>
        <w:kinsoku w:val="0"/>
        <w:autoSpaceDE w:val="0"/>
        <w:autoSpaceDN w:val="0"/>
        <w:adjustRightInd w:val="0"/>
        <w:snapToGrid w:val="0"/>
        <w:spacing w:before="154" w:after="0" w:line="600" w:lineRule="exact"/>
        <w:jc w:val="right"/>
        <w:textAlignment w:val="baseline"/>
        <w:rPr>
          <w:rFonts w:hint="eastAsia" w:ascii="仿宋_GB2312" w:hAnsi="仿宋_GB2312" w:eastAsia="仿宋_GB2312" w:cs="仿宋_GB2312"/>
          <w:snapToGrid w:val="0"/>
          <w:kern w:val="0"/>
          <w:sz w:val="31"/>
          <w:szCs w:val="31"/>
        </w:rPr>
      </w:pPr>
      <w:r>
        <w:fldChar w:fldCharType="begin"/>
      </w:r>
      <w:r>
        <w:instrText xml:space="preserve"> HYPERLINK "https://zhengce.beijing.gov.cn/" \l "/declare?govId=" </w:instrText>
      </w:r>
      <w:r>
        <w:fldChar w:fldCharType="separate"/>
      </w:r>
      <w:r>
        <w:rPr>
          <w:rFonts w:ascii="仿宋_GB2312" w:hAnsi="仿宋_GB2312" w:eastAsia="仿宋_GB2312" w:cs="仿宋_GB2312"/>
          <w:snapToGrid w:val="0"/>
          <w:kern w:val="0"/>
          <w:sz w:val="31"/>
          <w:szCs w:val="31"/>
        </w:rPr>
        <w:t>https</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zhengce</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beijing</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gov</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cn</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declare</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govId</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spacing w:val="20"/>
          <w:kern w:val="0"/>
          <w:sz w:val="31"/>
          <w:szCs w:val="31"/>
        </w:rPr>
        <w:fldChar w:fldCharType="end"/>
      </w:r>
    </w:p>
    <w:p w14:paraId="3421164D">
      <w:pPr>
        <w:kinsoku w:val="0"/>
        <w:overflowPunct w:val="0"/>
        <w:autoSpaceDE w:val="0"/>
        <w:autoSpaceDN w:val="0"/>
        <w:adjustRightInd w:val="0"/>
        <w:snapToGrid w:val="0"/>
        <w:spacing w:after="0" w:line="600" w:lineRule="exact"/>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1650417041710718977，选择“202</w:t>
      </w:r>
      <w:r>
        <w:rPr>
          <w:rFonts w:hint="eastAsia" w:ascii="仿宋_GB2312" w:hAnsi="仿宋_GB2312" w:eastAsia="仿宋_GB2312" w:cs="仿宋_GB2312"/>
          <w:snapToGrid w:val="0"/>
          <w:kern w:val="0"/>
          <w:sz w:val="31"/>
          <w:szCs w:val="31"/>
        </w:rPr>
        <w:t>6</w:t>
      </w:r>
      <w:r>
        <w:rPr>
          <w:rFonts w:ascii="仿宋_GB2312" w:hAnsi="仿宋_GB2312" w:eastAsia="仿宋_GB2312" w:cs="仿宋_GB2312"/>
          <w:snapToGrid w:val="0"/>
          <w:kern w:val="0"/>
          <w:sz w:val="31"/>
          <w:szCs w:val="31"/>
        </w:rPr>
        <w:t>年北京广播电视网络视听发展基金”对应的作品类别进行申报。</w:t>
      </w:r>
    </w:p>
    <w:p w14:paraId="74614DE1">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视频及图片材料存入U盘或硬盘中，一式两份，邮寄至北京市广播电视局（地址：北京市通州区达济街5号院，收件人：</w:t>
      </w:r>
      <w:r>
        <w:rPr>
          <w:rFonts w:hint="eastAsia" w:ascii="仿宋_GB2312" w:hAnsi="仿宋_GB2312" w:eastAsia="仿宋_GB2312" w:cs="仿宋_GB2312"/>
          <w:snapToGrid w:val="0"/>
          <w:kern w:val="0"/>
          <w:sz w:val="31"/>
          <w:szCs w:val="31"/>
        </w:rPr>
        <w:t>李</w:t>
      </w:r>
      <w:r>
        <w:rPr>
          <w:rFonts w:ascii="仿宋_GB2312" w:hAnsi="仿宋_GB2312" w:eastAsia="仿宋_GB2312" w:cs="仿宋_GB2312"/>
          <w:snapToGrid w:val="0"/>
          <w:kern w:val="0"/>
          <w:sz w:val="31"/>
          <w:szCs w:val="31"/>
        </w:rPr>
        <w:t>老师，联系电话：55565308）</w:t>
      </w:r>
    </w:p>
    <w:p w14:paraId="53F59CA2">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报审样片具备完整图像、声音、字幕，分辨率不低于1280×720，且必须从高清母带采集，码率不低于2Mbps,视频帧率大于25帧/秒，音频格式AAC,音频码率不低于128Kbps，封装格式MP4。为保护版权，需在全片中完整添加“评审专用”的文字标识和时钟码（小时、分钟、秒），其中“评审专用”位于画面右上角，时钟码位于画面左上角。所有申报材料一经上交不予退还。</w:t>
      </w:r>
    </w:p>
    <w:p w14:paraId="1086E246">
      <w:pPr>
        <w:overflowPunct w:val="0"/>
        <w:autoSpaceDE w:val="0"/>
        <w:autoSpaceDN w:val="0"/>
        <w:adjustRightInd w:val="0"/>
        <w:snapToGrid w:val="0"/>
        <w:spacing w:after="0" w:line="60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四、项目资助与验收</w:t>
      </w:r>
    </w:p>
    <w:p w14:paraId="21A34EBB">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获得基金资助的项目，由北京广播电视网络视听发展基金管理办公室与项目承担主体签订协议。</w:t>
      </w:r>
    </w:p>
    <w:p w14:paraId="1110115C">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项目完成后，项目承担主体向宣传管理处申请验收。宣传管理处依据《北京广播电视网络视听发展基金项目资助管理办法》和《北京广播电视网络视听发展基金项目资助协议书》对资助项目成果进行检查、评审和验收，并向基金办提报结项验收报告。基金办对项目验收过程给予协助。项目承担主体要积极配合，提供真实、合法、有效的凭证，不得弄虚作假。</w:t>
      </w:r>
    </w:p>
    <w:p w14:paraId="3076BD75">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获得基金资助的优秀广播电视节目参加国家或行业奖项的申报权、名誉权归北京市所有。验收合格的项目成果在使用时，须在</w:t>
      </w:r>
      <w:r>
        <w:rPr>
          <w:rFonts w:hint="eastAsia" w:ascii="仿宋_GB2312" w:hAnsi="仿宋_GB2312" w:eastAsia="仿宋_GB2312" w:cs="仿宋_GB2312"/>
          <w:snapToGrid w:val="0"/>
          <w:kern w:val="0"/>
          <w:sz w:val="31"/>
          <w:szCs w:val="31"/>
        </w:rPr>
        <w:t>海报、片头等</w:t>
      </w:r>
      <w:r>
        <w:rPr>
          <w:rFonts w:ascii="仿宋_GB2312" w:hAnsi="仿宋_GB2312" w:eastAsia="仿宋_GB2312" w:cs="仿宋_GB2312"/>
          <w:snapToGrid w:val="0"/>
          <w:kern w:val="0"/>
          <w:sz w:val="31"/>
          <w:szCs w:val="31"/>
        </w:rPr>
        <w:t>显著位置标注“北京市广电局重点资助项目”“北京大视听重点文艺项目”的字样。</w:t>
      </w:r>
    </w:p>
    <w:p w14:paraId="564EEC79">
      <w:pPr>
        <w:overflowPunct w:val="0"/>
        <w:autoSpaceDE w:val="0"/>
        <w:autoSpaceDN w:val="0"/>
        <w:adjustRightInd w:val="0"/>
        <w:snapToGrid w:val="0"/>
        <w:spacing w:after="0" w:line="60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五、违规责任追究</w:t>
      </w:r>
    </w:p>
    <w:p w14:paraId="2CD2B5ED">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有下列情形之一者，基金办会同各业务部门追回已拨经费，并取消项目承担主体连续三年申报和参与新资助项目的资格：</w:t>
      </w:r>
    </w:p>
    <w:p w14:paraId="2A9A0204">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（一）严重违反国家法律法规；</w:t>
      </w:r>
    </w:p>
    <w:p w14:paraId="714C20C7">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（二）项目内容有违公序良俗；</w:t>
      </w:r>
    </w:p>
    <w:p w14:paraId="10925D85">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（三）资助项目存在严重质量问题；</w:t>
      </w:r>
    </w:p>
    <w:p w14:paraId="5A1A6818">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（四）有弄虚作假行为；</w:t>
      </w:r>
    </w:p>
    <w:p w14:paraId="42184413">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（五）与批准的资助项目价值观、表现形式、主题主线严重不符；</w:t>
      </w:r>
    </w:p>
    <w:p w14:paraId="37F86133">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（六）无正当理由，不能按期完成项目；</w:t>
      </w:r>
    </w:p>
    <w:p w14:paraId="4EB5A244">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（七）严重违反财务会计和资金使用规定；</w:t>
      </w:r>
    </w:p>
    <w:p w14:paraId="291EE225">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（八）项目申报、评审、验收工作中有行贿行为；</w:t>
      </w:r>
    </w:p>
    <w:p w14:paraId="20D67E4F">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（九）获得基金</w:t>
      </w:r>
      <w:r>
        <w:rPr>
          <w:rFonts w:hint="eastAsia" w:ascii="仿宋_GB2312" w:hAnsi="仿宋_GB2312" w:eastAsia="仿宋_GB2312" w:cs="仿宋_GB2312"/>
          <w:snapToGrid w:val="0"/>
          <w:kern w:val="0"/>
          <w:sz w:val="31"/>
          <w:szCs w:val="31"/>
        </w:rPr>
        <w:t>资助</w:t>
      </w:r>
      <w:r>
        <w:rPr>
          <w:rFonts w:ascii="仿宋_GB2312" w:hAnsi="仿宋_GB2312" w:eastAsia="仿宋_GB2312" w:cs="仿宋_GB2312"/>
          <w:snapToGrid w:val="0"/>
          <w:kern w:val="0"/>
          <w:sz w:val="31"/>
          <w:szCs w:val="31"/>
        </w:rPr>
        <w:t>后</w:t>
      </w:r>
      <w:r>
        <w:rPr>
          <w:rFonts w:hint="eastAsia" w:ascii="仿宋_GB2312" w:hAnsi="仿宋" w:eastAsia="仿宋_GB2312" w:cs="Times New Roman"/>
          <w:sz w:val="32"/>
          <w:szCs w:val="32"/>
        </w:rPr>
        <w:t>擅自变更项目承担主体</w:t>
      </w:r>
      <w:r>
        <w:rPr>
          <w:rFonts w:ascii="仿宋_GB2312" w:hAnsi="仿宋_GB2312" w:eastAsia="仿宋_GB2312" w:cs="仿宋_GB2312"/>
          <w:snapToGrid w:val="0"/>
          <w:kern w:val="0"/>
          <w:sz w:val="31"/>
          <w:szCs w:val="31"/>
        </w:rPr>
        <w:t>,存在天价片酬、阴阳合同、偷漏税等情形，或其他重大违规事项。</w:t>
      </w:r>
    </w:p>
    <w:p w14:paraId="5FB86082">
      <w:pPr>
        <w:spacing w:line="600" w:lineRule="exact"/>
        <w:rPr>
          <w:rFonts w:hint="eastAsia"/>
        </w:rPr>
      </w:pPr>
    </w:p>
    <w:p w14:paraId="4D27274F">
      <w:pPr>
        <w:widowControl/>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056D4"/>
    <w:rsid w:val="3AB05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kinsoku w:val="0"/>
      <w:overflowPunct w:val="0"/>
      <w:autoSpaceDE w:val="0"/>
      <w:autoSpaceDN w:val="0"/>
      <w:adjustRightInd w:val="0"/>
      <w:snapToGrid w:val="0"/>
      <w:spacing w:after="0" w:line="580" w:lineRule="exact"/>
      <w:jc w:val="center"/>
      <w:textAlignment w:val="baseline"/>
      <w:outlineLvl w:val="0"/>
    </w:pPr>
    <w:rPr>
      <w:rFonts w:ascii="方正小标宋简体" w:hAnsi="宋体" w:eastAsia="方正小标宋简体" w:cs="宋体"/>
      <w:snapToGrid w:val="0"/>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2026-04-27T03:09:00Z</dcterms:created>
  <dc:creator>*</dc:creator>
  <cp:lastModifiedBy>*</cp:lastModifiedBy>
  <dcterms:modified xsi:type="dcterms:W3CDTF">2026-04-27T03:09:37Z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DD87715D62B848D9943F452149A841A1_11</vt:lpwstr>
  </property>
  <property fmtid="{D5CDD505-2E9C-101B-9397-08002B2CF9AE}" pid="4" name="KSOTemplateDocerSaveRecord">
    <vt:lpwstr>eyJoZGlkIjoiMGI2NTNkYTA2YTczNzc5YTZlNjkwNTY2ZDM5YjQ5ZTEiLCJ1c2VySWQiOiIzOTI5MDc2NjMifQ==</vt:lpwstr>
  </property>
</Properties>
</file>