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26445">
      <w:pPr>
        <w:spacing w:after="156" w:afterLines="50" w:line="56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北京市广播电视局</w:t>
      </w:r>
    </w:p>
    <w:p w14:paraId="05C4C74E">
      <w:pPr>
        <w:spacing w:after="156" w:afterLines="50" w:line="560" w:lineRule="exact"/>
        <w:jc w:val="center"/>
        <w:rPr>
          <w:rFonts w:hint="eastAsia" w:ascii="方正小标宋简体" w:hAnsi="方正小标宋简体" w:eastAsia="方正小标宋简体" w:cs="方正小标宋简体"/>
          <w:b/>
          <w:bCs/>
          <w:color w:val="auto"/>
          <w:sz w:val="44"/>
          <w:szCs w:val="44"/>
        </w:rPr>
      </w:pPr>
      <w:r>
        <w:rPr>
          <w:rFonts w:hint="eastAsia" w:ascii="方正小标宋简体" w:hAnsi="方正小标宋简体" w:eastAsia="方正小标宋简体" w:cs="方正小标宋简体"/>
          <w:color w:val="auto"/>
          <w:sz w:val="44"/>
          <w:szCs w:val="44"/>
        </w:rPr>
        <w:t>部门整体绩效评价报告</w:t>
      </w:r>
    </w:p>
    <w:p w14:paraId="486B82B5">
      <w:pPr>
        <w:spacing w:line="560" w:lineRule="exact"/>
        <w:ind w:firstLine="880" w:firstLineChars="200"/>
        <w:jc w:val="center"/>
        <w:rPr>
          <w:rFonts w:ascii="微软雅黑" w:eastAsia="微软雅黑"/>
          <w:color w:val="auto"/>
          <w:sz w:val="44"/>
          <w:szCs w:val="44"/>
        </w:rPr>
      </w:pPr>
    </w:p>
    <w:p w14:paraId="06ED9535">
      <w:pPr>
        <w:adjustRightInd w:val="0"/>
        <w:snapToGrid w:val="0"/>
        <w:spacing w:line="560" w:lineRule="exact"/>
        <w:ind w:firstLine="640" w:firstLineChars="200"/>
        <w:outlineLvl w:val="0"/>
        <w:rPr>
          <w:rFonts w:ascii="黑体" w:hAnsi="黑体" w:eastAsia="黑体" w:cs="宋体"/>
          <w:color w:val="auto"/>
          <w:kern w:val="0"/>
          <w:sz w:val="32"/>
          <w:szCs w:val="32"/>
        </w:rPr>
      </w:pPr>
      <w:r>
        <w:rPr>
          <w:rFonts w:hint="eastAsia" w:ascii="黑体" w:hAnsi="黑体" w:eastAsia="黑体" w:cs="宋体"/>
          <w:color w:val="auto"/>
          <w:kern w:val="0"/>
          <w:sz w:val="32"/>
          <w:szCs w:val="32"/>
        </w:rPr>
        <w:t>一、部门概况</w:t>
      </w:r>
    </w:p>
    <w:p w14:paraId="6A9811F5">
      <w:pPr>
        <w:adjustRightInd w:val="0"/>
        <w:snapToGrid w:val="0"/>
        <w:spacing w:line="560" w:lineRule="exact"/>
        <w:ind w:firstLine="640" w:firstLineChars="200"/>
        <w:outlineLvl w:val="1"/>
        <w:rPr>
          <w:rFonts w:ascii="楷体_GB2312" w:hAnsi="楷体" w:eastAsia="楷体_GB2312" w:cs="楷体_GB2312"/>
          <w:color w:val="auto"/>
          <w:sz w:val="32"/>
          <w:szCs w:val="32"/>
        </w:rPr>
      </w:pPr>
      <w:r>
        <w:rPr>
          <w:rFonts w:hint="eastAsia" w:ascii="楷体_GB2312" w:hAnsi="楷体" w:eastAsia="楷体_GB2312"/>
          <w:color w:val="auto"/>
          <w:sz w:val="32"/>
          <w:szCs w:val="32"/>
        </w:rPr>
        <w:t>（一）</w:t>
      </w:r>
      <w:r>
        <w:rPr>
          <w:rFonts w:hint="eastAsia" w:ascii="楷体_GB2312" w:hAnsi="楷体" w:eastAsia="楷体_GB2312"/>
          <w:color w:val="auto"/>
          <w:sz w:val="32"/>
          <w:szCs w:val="32"/>
          <w:lang w:eastAsia="zh-CN"/>
        </w:rPr>
        <w:t>机构设置及</w:t>
      </w:r>
      <w:r>
        <w:rPr>
          <w:rFonts w:hint="eastAsia" w:ascii="楷体_GB2312" w:hAnsi="楷体" w:eastAsia="楷体_GB2312"/>
          <w:color w:val="auto"/>
          <w:sz w:val="32"/>
          <w:szCs w:val="32"/>
        </w:rPr>
        <w:t>职责工作任务情况</w:t>
      </w:r>
    </w:p>
    <w:p w14:paraId="1FEE65BF">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北京市广播电视局(简称市广电局)是市政府直属机构，为正局级。市广电局贯彻落实党中央关于广播电视工作的方针政策、决策部署和市委有关工作要求，在履行职责过程中坚持和加强党对广播电视工作的集中统一领导。主要职责是：</w:t>
      </w:r>
    </w:p>
    <w:p w14:paraId="400BB1F5">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1.贯彻执行国家关于广播电视宣传工作的法律法规、规章和政策，把握正确的舆论和创作导向。负责起草本市关于广播电视和信息网络视听节目服务方面的地方性法规草案、政府规章草案，制定相关的政策措施、地方标准，并组织实施和监督管理。推进广播电视领域的体制机制改革。</w:t>
      </w:r>
    </w:p>
    <w:p w14:paraId="25B8416C">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2.负责制定本市广播电视领域事业发展规划，组织实施公共服务重大公益工程和公益活动，扶助农村广播电视建设和发展，指导、监管广播电视基础设施建设。</w:t>
      </w:r>
    </w:p>
    <w:p w14:paraId="14C15B1A">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3.负责统筹规划本市广播电视产业发展，制定发展规划、产业政策并组织实施。依法负责广播电视统计工作。</w:t>
      </w:r>
    </w:p>
    <w:p w14:paraId="2961B27F">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4.负责监督管理本市广播电视机构和业务，实施依法设定的行政许可并承担相应责任，负责市场经营活动监督管理的相关工作，负责对境外卫星电视节目接收的监管。</w:t>
      </w:r>
    </w:p>
    <w:p w14:paraId="2F638F2E">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5.指导电视剧行业发展和电视剧创作生产。负责对网络视听节目、广播电视节目进行监管，审查其内容和质量。指导监管广播电视广告播放。</w:t>
      </w:r>
    </w:p>
    <w:p w14:paraId="4005BBBB">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6.负责推进本市广播电视与新媒体新技术新业态融合发展，推进广电网与电信网、互联网三网融合。</w:t>
      </w:r>
    </w:p>
    <w:p w14:paraId="7FFC1FDC">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7.组织拟订本市广播电视科技发展规划、政策和行业技术标准，并组织实施和监督检查。负责对广播电视节目传输覆盖、监测和安全播出进行监管，推进应急广播建设。</w:t>
      </w:r>
    </w:p>
    <w:p w14:paraId="3E3054CE">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8.负责本市广播电视节目的进口、收录管理。负责广播电视领域对外及对港澳台的交流与合作，组织推动广播电视领域“走出去”工作。</w:t>
      </w:r>
    </w:p>
    <w:p w14:paraId="65F1EDC8">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9.依法对本市广播电视行业的安全工作承担管理责任，对以市广电局名义组织的各类活动的安全工作承担主体责任。</w:t>
      </w:r>
    </w:p>
    <w:p w14:paraId="7AE3C838">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10.指导本市广播电视、网络视听行业人才队伍建设。</w:t>
      </w:r>
    </w:p>
    <w:p w14:paraId="7923F936">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11.完成市委、市政府交办的其他任务。</w:t>
      </w:r>
    </w:p>
    <w:p w14:paraId="0F55CE26">
      <w:pPr>
        <w:adjustRightInd w:val="0"/>
        <w:snapToGrid w:val="0"/>
        <w:spacing w:line="56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市广电局</w:t>
      </w:r>
      <w:r>
        <w:rPr>
          <w:rFonts w:hint="eastAsia" w:ascii="仿宋_GB2312" w:hAnsi="仿宋" w:eastAsia="仿宋_GB2312"/>
          <w:color w:val="auto"/>
          <w:sz w:val="32"/>
          <w:szCs w:val="32"/>
          <w:lang w:eastAsia="zh-CN"/>
        </w:rPr>
        <w:t>包括市广电局（本级）及</w:t>
      </w:r>
      <w:r>
        <w:rPr>
          <w:rFonts w:hint="eastAsia" w:ascii="仿宋_GB2312" w:hAnsi="仿宋" w:eastAsia="仿宋_GB2312"/>
          <w:color w:val="auto"/>
          <w:sz w:val="32"/>
          <w:szCs w:val="32"/>
        </w:rPr>
        <w:t>6个</w:t>
      </w:r>
      <w:r>
        <w:rPr>
          <w:rFonts w:hint="eastAsia" w:ascii="仿宋_GB2312" w:hAnsi="仿宋" w:eastAsia="仿宋_GB2312"/>
          <w:color w:val="auto"/>
          <w:sz w:val="32"/>
          <w:szCs w:val="32"/>
          <w:lang w:eastAsia="zh-CN"/>
        </w:rPr>
        <w:t>事业</w:t>
      </w:r>
      <w:r>
        <w:rPr>
          <w:rFonts w:hint="eastAsia" w:ascii="仿宋_GB2312" w:hAnsi="仿宋" w:eastAsia="仿宋_GB2312"/>
          <w:color w:val="auto"/>
          <w:sz w:val="32"/>
          <w:szCs w:val="32"/>
        </w:rPr>
        <w:t>单位</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北京市广播电视局综合事务中心、北京市广播电视监测中心（北京市广播电视安全播出调度中心）、北京市视听节目审查和服务中心、北京新视听发展中心（北京音像资料馆）、北京市广播电视局宣传中心、北京广播影视交流促进中心</w:t>
      </w:r>
      <w:r>
        <w:rPr>
          <w:rFonts w:hint="eastAsia" w:ascii="仿宋_GB2312" w:hAnsi="仿宋" w:eastAsia="仿宋_GB2312"/>
          <w:color w:val="auto"/>
          <w:sz w:val="32"/>
          <w:szCs w:val="32"/>
          <w:lang w:eastAsia="zh-CN"/>
        </w:rPr>
        <w:t>）。</w:t>
      </w:r>
    </w:p>
    <w:p w14:paraId="4CA4CD93">
      <w:pPr>
        <w:adjustRightInd w:val="0"/>
        <w:snapToGrid w:val="0"/>
        <w:spacing w:line="560" w:lineRule="exact"/>
        <w:ind w:firstLine="640" w:firstLineChars="200"/>
        <w:outlineLvl w:val="1"/>
        <w:rPr>
          <w:rFonts w:ascii="楷体_GB2312" w:hAnsi="楷体" w:eastAsia="楷体_GB2312"/>
          <w:color w:val="auto"/>
          <w:sz w:val="32"/>
          <w:szCs w:val="32"/>
        </w:rPr>
      </w:pPr>
      <w:r>
        <w:rPr>
          <w:rFonts w:hint="eastAsia" w:ascii="楷体_GB2312" w:hAnsi="楷体" w:eastAsia="楷体_GB2312"/>
          <w:color w:val="auto"/>
          <w:sz w:val="32"/>
          <w:szCs w:val="32"/>
        </w:rPr>
        <w:t>（二）部门整体绩效目标设立情况</w:t>
      </w:r>
    </w:p>
    <w:p w14:paraId="6008045D">
      <w:pPr>
        <w:adjustRightInd w:val="0"/>
        <w:snapToGrid w:val="0"/>
        <w:spacing w:line="56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市广电局部门整体绩效目标全面反映了全局年度预期产出和效果，绩效指标细化、可考核可评价，为年度工作开展提供方向指引和约束。</w:t>
      </w:r>
    </w:p>
    <w:p w14:paraId="6035C2EC">
      <w:pPr>
        <w:adjustRightInd w:val="0"/>
        <w:snapToGrid w:val="0"/>
        <w:spacing w:line="560" w:lineRule="exact"/>
        <w:ind w:firstLine="643" w:firstLineChars="200"/>
        <w:rPr>
          <w:rFonts w:ascii="仿宋_GB2312" w:hAnsi="仿宋" w:eastAsia="仿宋_GB2312"/>
          <w:color w:val="auto"/>
          <w:sz w:val="32"/>
          <w:szCs w:val="32"/>
        </w:rPr>
      </w:pPr>
      <w:r>
        <w:rPr>
          <w:rFonts w:hint="eastAsia" w:ascii="仿宋_GB2312" w:hAnsi="仿宋" w:eastAsia="仿宋_GB2312"/>
          <w:b/>
          <w:bCs/>
          <w:color w:val="auto"/>
          <w:sz w:val="32"/>
          <w:szCs w:val="32"/>
        </w:rPr>
        <w:t>1.目标设立依据充分。</w:t>
      </w:r>
      <w:r>
        <w:rPr>
          <w:rFonts w:hint="eastAsia" w:ascii="仿宋_GB2312" w:hAnsi="宋体" w:eastAsia="仿宋_GB2312" w:cs="宋体"/>
          <w:color w:val="auto"/>
          <w:kern w:val="0"/>
          <w:sz w:val="32"/>
          <w:szCs w:val="32"/>
        </w:rPr>
        <w:t>绩效目标设定依据党中央、国务院和北京市委市政府的决策部署，</w:t>
      </w:r>
      <w:r>
        <w:rPr>
          <w:rFonts w:hint="eastAsia" w:ascii="仿宋_GB2312" w:hAnsi="仿宋" w:eastAsia="仿宋_GB2312"/>
          <w:color w:val="auto"/>
          <w:sz w:val="32"/>
          <w:szCs w:val="32"/>
        </w:rPr>
        <w:t>符合广电行业法律法规相关规定，与北京市“十四五”时期加强全国文化中心建设规划及广播电视和网络视听发展规划相契合，绩效目标设置</w:t>
      </w:r>
      <w:r>
        <w:rPr>
          <w:rFonts w:ascii="仿宋_GB2312" w:hAnsi="仿宋" w:eastAsia="仿宋_GB2312"/>
          <w:color w:val="auto"/>
          <w:sz w:val="32"/>
          <w:szCs w:val="32"/>
        </w:rPr>
        <w:t>符合广电领域相关政策要求</w:t>
      </w:r>
      <w:r>
        <w:rPr>
          <w:rFonts w:hint="eastAsia" w:ascii="仿宋_GB2312" w:hAnsi="仿宋" w:eastAsia="仿宋_GB2312"/>
          <w:color w:val="auto"/>
          <w:sz w:val="32"/>
          <w:szCs w:val="32"/>
        </w:rPr>
        <w:t>。</w:t>
      </w:r>
    </w:p>
    <w:p w14:paraId="7E6BE5E5">
      <w:pPr>
        <w:adjustRightInd w:val="0"/>
        <w:snapToGrid w:val="0"/>
        <w:spacing w:line="560" w:lineRule="exact"/>
        <w:ind w:firstLine="643" w:firstLineChars="200"/>
        <w:rPr>
          <w:rFonts w:ascii="仿宋_GB2312" w:hAnsi="仿宋" w:eastAsia="仿宋_GB2312"/>
          <w:color w:val="auto"/>
          <w:sz w:val="32"/>
          <w:szCs w:val="32"/>
        </w:rPr>
      </w:pPr>
      <w:r>
        <w:rPr>
          <w:rFonts w:hint="eastAsia" w:ascii="仿宋_GB2312" w:hAnsi="仿宋" w:eastAsia="仿宋_GB2312"/>
          <w:b/>
          <w:bCs/>
          <w:color w:val="auto"/>
          <w:sz w:val="32"/>
          <w:szCs w:val="32"/>
        </w:rPr>
        <w:t>2.目标设定与职责任务匹配。</w:t>
      </w:r>
      <w:r>
        <w:rPr>
          <w:rFonts w:hint="eastAsia" w:ascii="仿宋_GB2312" w:hAnsi="仿宋" w:eastAsia="仿宋_GB2312"/>
          <w:color w:val="auto"/>
          <w:sz w:val="32"/>
          <w:szCs w:val="32"/>
        </w:rPr>
        <w:t>绩效目标设定以市广电局部门职责为出发点，紧扣年度重点工作任务，绩效目标与部门职责及年度重点工作内容相符。</w:t>
      </w:r>
    </w:p>
    <w:p w14:paraId="1A943FCA">
      <w:pPr>
        <w:adjustRightInd w:val="0"/>
        <w:snapToGrid w:val="0"/>
        <w:spacing w:line="560" w:lineRule="exact"/>
        <w:ind w:firstLine="643" w:firstLineChars="200"/>
        <w:outlineLvl w:val="0"/>
        <w:rPr>
          <w:rFonts w:ascii="黑体" w:hAnsi="黑体" w:eastAsia="仿宋_GB2312" w:cs="宋体"/>
          <w:color w:val="auto"/>
          <w:kern w:val="0"/>
          <w:sz w:val="32"/>
          <w:szCs w:val="32"/>
        </w:rPr>
      </w:pPr>
      <w:r>
        <w:rPr>
          <w:rFonts w:hint="eastAsia" w:ascii="仿宋_GB2312" w:hAnsi="仿宋" w:eastAsia="仿宋_GB2312"/>
          <w:b/>
          <w:bCs/>
          <w:color w:val="auto"/>
          <w:sz w:val="32"/>
          <w:szCs w:val="32"/>
        </w:rPr>
        <w:t>3.目标设定合理可行。</w:t>
      </w:r>
      <w:r>
        <w:rPr>
          <w:rFonts w:hint="eastAsia" w:ascii="仿宋_GB2312" w:hAnsi="仿宋" w:eastAsia="仿宋_GB2312"/>
          <w:color w:val="auto"/>
          <w:sz w:val="32"/>
          <w:szCs w:val="32"/>
        </w:rPr>
        <w:t>绩效目标设定围绕全局预期主要产出和效果，与预算额度相匹配，与年度工作计划及工作量相对应</w:t>
      </w:r>
      <w:r>
        <w:rPr>
          <w:rFonts w:hint="eastAsia" w:ascii="仿宋_GB2312" w:hAnsi="宋体" w:eastAsia="仿宋_GB2312" w:cs="宋体"/>
          <w:color w:val="auto"/>
          <w:kern w:val="0"/>
          <w:sz w:val="32"/>
          <w:szCs w:val="32"/>
        </w:rPr>
        <w:t>，目标设置全面合理</w:t>
      </w:r>
      <w:r>
        <w:rPr>
          <w:rFonts w:hint="eastAsia" w:ascii="仿宋_GB2312" w:hAnsi="仿宋" w:eastAsia="仿宋_GB2312"/>
          <w:color w:val="auto"/>
          <w:sz w:val="32"/>
          <w:szCs w:val="32"/>
        </w:rPr>
        <w:t>。</w:t>
      </w:r>
    </w:p>
    <w:p w14:paraId="46B487E8">
      <w:pPr>
        <w:adjustRightInd w:val="0"/>
        <w:snapToGrid w:val="0"/>
        <w:spacing w:line="560" w:lineRule="exact"/>
        <w:ind w:firstLine="640" w:firstLineChars="200"/>
        <w:outlineLvl w:val="0"/>
        <w:rPr>
          <w:rFonts w:ascii="黑体" w:hAnsi="黑体" w:eastAsia="黑体" w:cs="宋体"/>
          <w:color w:val="auto"/>
          <w:kern w:val="0"/>
          <w:sz w:val="32"/>
          <w:szCs w:val="32"/>
        </w:rPr>
      </w:pPr>
      <w:r>
        <w:rPr>
          <w:rFonts w:hint="eastAsia" w:ascii="黑体" w:hAnsi="黑体" w:eastAsia="黑体" w:cs="宋体"/>
          <w:color w:val="auto"/>
          <w:kern w:val="0"/>
          <w:sz w:val="32"/>
          <w:szCs w:val="32"/>
        </w:rPr>
        <w:t>二</w:t>
      </w:r>
      <w:r>
        <w:rPr>
          <w:rFonts w:ascii="黑体" w:hAnsi="黑体" w:eastAsia="黑体" w:cs="宋体"/>
          <w:color w:val="auto"/>
          <w:kern w:val="0"/>
          <w:sz w:val="32"/>
          <w:szCs w:val="32"/>
        </w:rPr>
        <w:t>、</w:t>
      </w:r>
      <w:r>
        <w:rPr>
          <w:rFonts w:hint="eastAsia" w:ascii="黑体" w:hAnsi="黑体" w:eastAsia="黑体" w:cs="宋体"/>
          <w:color w:val="auto"/>
          <w:kern w:val="0"/>
          <w:sz w:val="32"/>
          <w:szCs w:val="32"/>
        </w:rPr>
        <w:t>当年</w:t>
      </w:r>
      <w:r>
        <w:rPr>
          <w:rFonts w:ascii="黑体" w:hAnsi="黑体" w:eastAsia="黑体" w:cs="宋体"/>
          <w:color w:val="auto"/>
          <w:kern w:val="0"/>
          <w:sz w:val="32"/>
          <w:szCs w:val="32"/>
        </w:rPr>
        <w:t>预算执行情况</w:t>
      </w:r>
    </w:p>
    <w:p w14:paraId="4D159911">
      <w:pPr>
        <w:adjustRightInd w:val="0"/>
        <w:snapToGrid w:val="0"/>
        <w:spacing w:line="56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2024年全年预算数55,489.45万元，其中，基本支出预算数10,520.53万元，项目支出预算数44,968.92万元。资金总体支出51,559.43万元，其中，基本支出9,544.20万元，项目支出42,015.23万元。预算执行率为92.92%。</w:t>
      </w:r>
    </w:p>
    <w:p w14:paraId="08445F9C">
      <w:pPr>
        <w:adjustRightInd w:val="0"/>
        <w:snapToGrid w:val="0"/>
        <w:spacing w:line="560" w:lineRule="exact"/>
        <w:ind w:firstLine="640" w:firstLineChars="200"/>
        <w:outlineLvl w:val="0"/>
        <w:rPr>
          <w:rFonts w:ascii="黑体" w:hAnsi="黑体" w:eastAsia="黑体" w:cs="宋体"/>
          <w:color w:val="auto"/>
          <w:kern w:val="0"/>
          <w:sz w:val="32"/>
          <w:szCs w:val="32"/>
        </w:rPr>
      </w:pPr>
      <w:r>
        <w:rPr>
          <w:rFonts w:hint="eastAsia" w:ascii="黑体" w:hAnsi="黑体" w:eastAsia="黑体" w:cs="宋体"/>
          <w:color w:val="auto"/>
          <w:kern w:val="0"/>
          <w:sz w:val="32"/>
          <w:szCs w:val="32"/>
        </w:rPr>
        <w:t>三</w:t>
      </w:r>
      <w:r>
        <w:rPr>
          <w:rFonts w:ascii="黑体" w:hAnsi="黑体" w:eastAsia="黑体" w:cs="宋体"/>
          <w:color w:val="auto"/>
          <w:kern w:val="0"/>
          <w:sz w:val="32"/>
          <w:szCs w:val="32"/>
        </w:rPr>
        <w:t>、整体绩效目标实现情况</w:t>
      </w:r>
    </w:p>
    <w:p w14:paraId="239C6866">
      <w:pPr>
        <w:adjustRightInd w:val="0"/>
        <w:snapToGrid w:val="0"/>
        <w:spacing w:line="560" w:lineRule="exact"/>
        <w:ind w:firstLine="640" w:firstLineChars="200"/>
      </w:pPr>
      <w:r>
        <w:rPr>
          <w:rFonts w:hint="eastAsia" w:ascii="仿宋_GB2312" w:hAnsi="宋体" w:eastAsia="仿宋_GB2312" w:cs="宋体"/>
          <w:color w:val="auto"/>
          <w:kern w:val="0"/>
          <w:sz w:val="32"/>
          <w:szCs w:val="32"/>
        </w:rPr>
        <w:t>2024年，市广电局坚持以习近平新时代中国特色社会主义思想为指导，全面贯彻党的二十大和</w:t>
      </w:r>
      <w:r>
        <w:rPr>
          <w:rFonts w:ascii="仿宋_GB2312" w:hAnsi="宋体" w:eastAsia="仿宋_GB2312" w:cs="宋体"/>
          <w:color w:val="auto"/>
          <w:kern w:val="0"/>
          <w:sz w:val="32"/>
          <w:szCs w:val="32"/>
        </w:rPr>
        <w:t>二十届二中、三中全会</w:t>
      </w:r>
      <w:r>
        <w:rPr>
          <w:rFonts w:hint="eastAsia" w:ascii="仿宋_GB2312" w:hAnsi="宋体" w:eastAsia="仿宋_GB2312" w:cs="宋体"/>
          <w:color w:val="auto"/>
          <w:kern w:val="0"/>
          <w:sz w:val="32"/>
          <w:szCs w:val="32"/>
        </w:rPr>
        <w:t>精神，将习近平文化思想贯彻落实到首都广播电视和网络视听工作各方面和全过程，持续巩固壮大主流思想舆论，强化精品创作质量，优化公共文化服务供给体系，深化行业监管，努力推动首都广播电视和网络视听高质量创新性发展，更好服务新时代首都发展大局。整体绩效目标实现情况如下：</w:t>
      </w:r>
    </w:p>
    <w:p w14:paraId="3BDAB4E0">
      <w:pPr>
        <w:adjustRightInd w:val="0"/>
        <w:snapToGrid w:val="0"/>
        <w:spacing w:line="560" w:lineRule="exact"/>
        <w:ind w:firstLine="640"/>
        <w:outlineLvl w:val="1"/>
        <w:rPr>
          <w:rFonts w:ascii="楷体_GB2312" w:hAnsi="楷体" w:eastAsia="楷体_GB2312"/>
          <w:color w:val="auto"/>
        </w:rPr>
      </w:pPr>
      <w:r>
        <w:rPr>
          <w:rFonts w:hint="eastAsia" w:ascii="楷体_GB2312" w:hAnsi="楷体" w:eastAsia="楷体_GB2312" w:cs="楷体_GB2312"/>
          <w:color w:val="auto"/>
          <w:sz w:val="32"/>
          <w:szCs w:val="32"/>
        </w:rPr>
        <w:t>（一）产出完成情况分析</w:t>
      </w:r>
    </w:p>
    <w:p w14:paraId="4C42C5C2">
      <w:pPr>
        <w:adjustRightInd w:val="0"/>
        <w:snapToGrid w:val="0"/>
        <w:spacing w:line="560" w:lineRule="exact"/>
        <w:ind w:firstLine="643" w:firstLineChars="200"/>
        <w:outlineLvl w:val="2"/>
        <w:rPr>
          <w:rFonts w:ascii="仿宋_GB2312" w:hAnsi="宋体" w:eastAsia="仿宋_GB2312" w:cs="宋体"/>
          <w:color w:val="auto"/>
          <w:kern w:val="0"/>
          <w:sz w:val="32"/>
          <w:szCs w:val="32"/>
          <w:lang w:eastAsia="zh-Hans"/>
        </w:rPr>
      </w:pPr>
      <w:r>
        <w:rPr>
          <w:rFonts w:hint="eastAsia" w:ascii="仿宋_GB2312" w:hAnsi="宋体" w:eastAsia="仿宋_GB2312" w:cs="宋体"/>
          <w:b/>
          <w:bCs/>
          <w:color w:val="auto"/>
          <w:kern w:val="0"/>
          <w:sz w:val="32"/>
          <w:szCs w:val="32"/>
        </w:rPr>
        <w:t>1.坚持思想引领，不断提高广播电视和网络视听舆论引导能力。</w:t>
      </w:r>
      <w:r>
        <w:rPr>
          <w:rFonts w:hint="eastAsia" w:ascii="仿宋_GB2312" w:hAnsi="宋体" w:eastAsia="仿宋_GB2312" w:cs="宋体"/>
          <w:color w:val="auto"/>
          <w:kern w:val="0"/>
          <w:sz w:val="32"/>
          <w:szCs w:val="32"/>
        </w:rPr>
        <w:t>一是突出核心宣传成效</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做好习近平新时代中国特色社会主义思想宣传</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聚焦重要节点，做好广电视听主题宣传报道。二是构建北京“视听大宣传”格局</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“视听大宣传+大健康”“视听大宣传+首都科普”“视听大宣传+乡村振兴”等品牌影响力不断提升。</w:t>
      </w:r>
    </w:p>
    <w:p w14:paraId="722A9524">
      <w:pPr>
        <w:adjustRightInd w:val="0"/>
        <w:snapToGrid w:val="0"/>
        <w:spacing w:line="560" w:lineRule="exact"/>
        <w:ind w:firstLine="643"/>
        <w:outlineLvl w:val="2"/>
        <w:rPr>
          <w:rFonts w:ascii="仿宋_GB2312" w:hAnsi="仿宋_GB2312" w:eastAsia="仿宋_GB2312" w:cs="仿宋_GB2312"/>
          <w:color w:val="auto"/>
          <w:sz w:val="32"/>
          <w:szCs w:val="32"/>
          <w:lang w:bidi="ar"/>
        </w:rPr>
      </w:pPr>
      <w:r>
        <w:rPr>
          <w:rFonts w:hint="eastAsia" w:ascii="仿宋_GB2312" w:hAnsi="宋体" w:eastAsia="仿宋_GB2312" w:cs="宋体"/>
          <w:b/>
          <w:bCs/>
          <w:color w:val="auto"/>
          <w:kern w:val="0"/>
          <w:sz w:val="32"/>
          <w:szCs w:val="32"/>
        </w:rPr>
        <w:t>2.推动精品创作，助力文艺创作向“精”而行。</w:t>
      </w:r>
      <w:r>
        <w:rPr>
          <w:rFonts w:hint="eastAsia" w:ascii="仿宋_GB2312" w:hAnsi="宋体" w:eastAsia="仿宋_GB2312" w:cs="宋体"/>
          <w:color w:val="auto"/>
          <w:kern w:val="0"/>
          <w:sz w:val="32"/>
          <w:szCs w:val="32"/>
        </w:rPr>
        <w:t>一是评奖推优</w:t>
      </w:r>
      <w:r>
        <w:rPr>
          <w:rFonts w:hint="eastAsia" w:ascii="仿宋_GB2312" w:hAnsi="仿宋_GB2312" w:eastAsia="仿宋_GB2312" w:cs="仿宋_GB2312"/>
          <w:color w:val="auto"/>
          <w:sz w:val="32"/>
          <w:szCs w:val="32"/>
          <w:shd w:val="clear" w:color="auto" w:fill="FFFFFF"/>
        </w:rPr>
        <w:t>创历史新高</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多</w:t>
      </w:r>
      <w:r>
        <w:rPr>
          <w:rFonts w:hint="eastAsia" w:ascii="仿宋_GB2312" w:hAnsi="宋体" w:eastAsia="仿宋_GB2312" w:cs="宋体"/>
          <w:color w:val="auto"/>
          <w:kern w:val="0"/>
          <w:sz w:val="32"/>
          <w:szCs w:val="32"/>
        </w:rPr>
        <w:t>部作品获得国家级大奖</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二是搭建精品创作国家级平台</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高水平举办首届中国广电精品创作大会。三是奖励扶持</w:t>
      </w:r>
      <w:r>
        <w:rPr>
          <w:rFonts w:hint="eastAsia" w:ascii="仿宋_GB2312" w:hAnsi="仿宋_GB2312" w:eastAsia="仿宋_GB2312" w:cs="仿宋_GB2312"/>
          <w:color w:val="auto"/>
          <w:sz w:val="32"/>
          <w:szCs w:val="32"/>
          <w:lang w:bidi="ar"/>
        </w:rPr>
        <w:t>推动精品内容创作</w:t>
      </w:r>
      <w:r>
        <w:rPr>
          <w:rFonts w:hint="eastAsia" w:ascii="仿宋_GB2312" w:hAnsi="宋体" w:eastAsia="仿宋_GB2312" w:cs="宋体"/>
          <w:color w:val="auto"/>
          <w:kern w:val="0"/>
          <w:sz w:val="32"/>
          <w:szCs w:val="32"/>
          <w:lang w:eastAsia="zh-CN"/>
        </w:rPr>
        <w:t>，</w:t>
      </w:r>
      <w:r>
        <w:rPr>
          <w:rFonts w:hint="eastAsia" w:ascii="仿宋_GB2312" w:hAnsi="仿宋_GB2312" w:eastAsia="仿宋_GB2312" w:cs="仿宋_GB2312"/>
          <w:color w:val="auto"/>
          <w:sz w:val="32"/>
          <w:szCs w:val="32"/>
          <w:lang w:bidi="ar"/>
        </w:rPr>
        <w:t>助力北京广电视听精品创作高质量发展。四是“破圈”佳作闪耀大小屏</w:t>
      </w:r>
      <w:r>
        <w:rPr>
          <w:rFonts w:hint="eastAsia" w:ascii="仿宋_GB2312" w:hAnsi="仿宋_GB2312" w:eastAsia="仿宋_GB2312" w:cs="仿宋_GB2312"/>
          <w:color w:val="auto"/>
          <w:sz w:val="32"/>
          <w:szCs w:val="32"/>
          <w:lang w:eastAsia="zh-CN" w:bidi="ar"/>
        </w:rPr>
        <w:t>，</w:t>
      </w:r>
      <w:r>
        <w:rPr>
          <w:rFonts w:hint="eastAsia" w:ascii="仿宋_GB2312" w:hAnsi="仿宋_GB2312" w:eastAsia="仿宋_GB2312" w:cs="仿宋_GB2312"/>
          <w:color w:val="auto"/>
          <w:sz w:val="32"/>
          <w:szCs w:val="32"/>
          <w:lang w:bidi="ar"/>
        </w:rPr>
        <w:t>《我的阿勒泰》《玫瑰的故事》成为“视听+文旅”现象级作品。</w:t>
      </w:r>
    </w:p>
    <w:p w14:paraId="53398398">
      <w:pPr>
        <w:adjustRightInd w:val="0"/>
        <w:snapToGrid w:val="0"/>
        <w:spacing w:line="560" w:lineRule="exact"/>
        <w:ind w:firstLine="643" w:firstLineChars="200"/>
        <w:outlineLvl w:val="2"/>
        <w:rPr>
          <w:rFonts w:ascii="仿宋_GB2312" w:hAnsi="宋体" w:eastAsia="仿宋_GB2312" w:cs="宋体"/>
          <w:color w:val="auto"/>
          <w:kern w:val="0"/>
          <w:sz w:val="32"/>
          <w:szCs w:val="32"/>
        </w:rPr>
      </w:pPr>
      <w:r>
        <w:rPr>
          <w:rFonts w:hint="eastAsia" w:ascii="仿宋_GB2312" w:hAnsi="宋体" w:eastAsia="仿宋_GB2312" w:cs="宋体"/>
          <w:b/>
          <w:bCs/>
          <w:color w:val="auto"/>
          <w:kern w:val="0"/>
          <w:sz w:val="32"/>
          <w:szCs w:val="32"/>
        </w:rPr>
        <w:t>3.坚持科技创新驱动，加快培育壮大广电视听新质生产力。</w:t>
      </w:r>
      <w:r>
        <w:rPr>
          <w:rFonts w:hint="eastAsia" w:ascii="仿宋_GB2312" w:hAnsi="宋体" w:eastAsia="仿宋_GB2312" w:cs="宋体"/>
          <w:color w:val="auto"/>
          <w:kern w:val="0"/>
          <w:sz w:val="32"/>
          <w:szCs w:val="32"/>
        </w:rPr>
        <w:t>一是在全国率先开展超高清视听贯通试点</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签署《“中国（北京）超高清电视先锋行动计划”合作备忘录》，中关村论坛年会首次设立超高清视听主题论坛。二是全国首支超高清视听产业发展支持资金落地，推动技术创新链与产业链深度融合。三是加强人工智能大模型技术研究发展</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推动人工智能视听大模型应用。</w:t>
      </w:r>
    </w:p>
    <w:p w14:paraId="341C0DA2">
      <w:pPr>
        <w:adjustRightInd w:val="0"/>
        <w:snapToGrid w:val="0"/>
        <w:spacing w:line="560" w:lineRule="exact"/>
        <w:ind w:firstLine="643" w:firstLineChars="200"/>
        <w:outlineLvl w:val="2"/>
        <w:rPr>
          <w:rFonts w:ascii="仿宋_GB2312" w:hAnsi="宋体" w:eastAsia="仿宋_GB2312" w:cs="宋体"/>
          <w:color w:val="auto"/>
          <w:kern w:val="0"/>
          <w:sz w:val="32"/>
          <w:szCs w:val="32"/>
        </w:rPr>
      </w:pPr>
      <w:r>
        <w:rPr>
          <w:rFonts w:hint="eastAsia" w:ascii="仿宋_GB2312" w:hAnsi="宋体" w:eastAsia="仿宋_GB2312" w:cs="宋体"/>
          <w:b/>
          <w:bCs/>
          <w:color w:val="auto"/>
          <w:kern w:val="0"/>
          <w:sz w:val="32"/>
          <w:szCs w:val="32"/>
        </w:rPr>
        <w:t>4.保障基本公共权益，提升新视听公共服务水平。</w:t>
      </w:r>
      <w:r>
        <w:rPr>
          <w:rFonts w:hint="eastAsia" w:ascii="仿宋_GB2312" w:hAnsi="宋体" w:eastAsia="仿宋_GB2312" w:cs="宋体"/>
          <w:color w:val="auto"/>
          <w:kern w:val="0"/>
          <w:sz w:val="32"/>
          <w:szCs w:val="32"/>
        </w:rPr>
        <w:t>一是高标准推进应急广播建设，实现与国家应急广播平台、市预警信息发布平台联通对接。二是</w:t>
      </w:r>
      <w:r>
        <w:rPr>
          <w:rFonts w:hint="eastAsia" w:ascii="仿宋_GB2312" w:hAnsi="宋体" w:eastAsia="仿宋_GB2312" w:cs="宋体"/>
          <w:color w:val="auto"/>
          <w:kern w:val="0"/>
          <w:sz w:val="32"/>
          <w:szCs w:val="32"/>
          <w:lang w:val="en-US" w:eastAsia="zh-CN"/>
        </w:rPr>
        <w:t>保障</w:t>
      </w:r>
      <w:r>
        <w:rPr>
          <w:rFonts w:hint="eastAsia" w:ascii="仿宋_GB2312" w:hAnsi="宋体" w:eastAsia="仿宋_GB2312" w:cs="宋体"/>
          <w:color w:val="auto"/>
          <w:kern w:val="0"/>
          <w:sz w:val="32"/>
          <w:szCs w:val="32"/>
        </w:rPr>
        <w:t>基础设施安全稳定运行，保证中央及北京市广播电视节目长期服务于广大百姓。三是科技赋能公共服务创新升级，</w:t>
      </w:r>
      <w:r>
        <w:rPr>
          <w:rFonts w:hint="eastAsia" w:ascii="仿宋_GB2312" w:hAnsi="宋体" w:eastAsia="仿宋_GB2312" w:cs="宋体"/>
          <w:color w:val="auto"/>
          <w:kern w:val="0"/>
          <w:sz w:val="32"/>
          <w:szCs w:val="32"/>
          <w:lang w:val="en-US" w:eastAsia="zh-CN"/>
        </w:rPr>
        <w:t>推动</w:t>
      </w:r>
      <w:r>
        <w:rPr>
          <w:rFonts w:hint="eastAsia" w:ascii="仿宋_GB2312" w:hAnsi="宋体" w:eastAsia="仿宋_GB2312" w:cs="宋体"/>
          <w:color w:val="auto"/>
          <w:kern w:val="0"/>
          <w:sz w:val="32"/>
          <w:szCs w:val="32"/>
        </w:rPr>
        <w:t>新一代视听技术更深层次惠及人民群众。</w:t>
      </w:r>
    </w:p>
    <w:p w14:paraId="06845644">
      <w:pPr>
        <w:widowControl/>
        <w:adjustRightInd w:val="0"/>
        <w:snapToGrid w:val="0"/>
        <w:spacing w:line="560" w:lineRule="exact"/>
        <w:ind w:firstLine="641"/>
        <w:outlineLvl w:val="2"/>
        <w:rPr>
          <w:color w:val="auto"/>
        </w:rPr>
      </w:pPr>
      <w:r>
        <w:rPr>
          <w:rFonts w:hint="eastAsia" w:ascii="仿宋_GB2312" w:hAnsi="宋体" w:eastAsia="仿宋_GB2312" w:cs="宋体"/>
          <w:b/>
          <w:bCs/>
          <w:color w:val="auto"/>
          <w:kern w:val="0"/>
          <w:sz w:val="32"/>
          <w:szCs w:val="32"/>
        </w:rPr>
        <w:t>5.不断强化底线思维，</w:t>
      </w:r>
      <w:r>
        <w:rPr>
          <w:rFonts w:hint="eastAsia" w:ascii="仿宋_GB2312" w:hAnsi="仿宋_GB2312" w:eastAsia="仿宋_GB2312" w:cs="仿宋_GB2312"/>
          <w:b/>
          <w:bCs/>
          <w:color w:val="auto"/>
          <w:kern w:val="0"/>
          <w:sz w:val="32"/>
          <w:szCs w:val="32"/>
        </w:rPr>
        <w:t>持续增强安全保障和行业治理能力</w:t>
      </w:r>
      <w:r>
        <w:rPr>
          <w:rFonts w:hint="eastAsia" w:ascii="仿宋_GB2312" w:hAnsi="宋体" w:eastAsia="仿宋_GB2312" w:cs="宋体"/>
          <w:b/>
          <w:bCs/>
          <w:color w:val="auto"/>
          <w:kern w:val="0"/>
          <w:sz w:val="32"/>
          <w:szCs w:val="32"/>
        </w:rPr>
        <w:t>。</w:t>
      </w:r>
      <w:r>
        <w:rPr>
          <w:rFonts w:hint="eastAsia" w:ascii="仿宋_GB2312" w:hAnsi="宋体" w:eastAsia="仿宋_GB2312" w:cs="宋体"/>
          <w:color w:val="auto"/>
          <w:kern w:val="0"/>
          <w:sz w:val="32"/>
          <w:szCs w:val="32"/>
        </w:rPr>
        <w:t>一是高标准推进“双治理”和频道频率精简精办。二是完成重要会议重大活动的安播</w:t>
      </w:r>
      <w:bookmarkStart w:id="0" w:name="_GoBack"/>
      <w:bookmarkEnd w:id="0"/>
      <w:r>
        <w:rPr>
          <w:rFonts w:hint="eastAsia" w:ascii="仿宋_GB2312" w:hAnsi="宋体" w:eastAsia="仿宋_GB2312" w:cs="宋体"/>
          <w:color w:val="auto"/>
          <w:kern w:val="0"/>
          <w:sz w:val="32"/>
          <w:szCs w:val="32"/>
        </w:rPr>
        <w:t>保障和住地境外卫星电视、有线电视（含IPTV、VOD）服务保障任务，全年安全播出零事故。三是强化风险防控</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开展行业网络安全实战演习，整改风险隐患。四是规范微短剧管理</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开展违规微短剧、盗版微短剧、微短剧乱收费、违规片名等专项治理。</w:t>
      </w:r>
    </w:p>
    <w:p w14:paraId="5AC9F384">
      <w:pPr>
        <w:adjustRightInd w:val="0"/>
        <w:snapToGrid w:val="0"/>
        <w:spacing w:line="560" w:lineRule="exact"/>
        <w:ind w:firstLine="643" w:firstLineChars="200"/>
        <w:outlineLvl w:val="2"/>
        <w:rPr>
          <w:rFonts w:ascii="仿宋_GB2312" w:hAnsi="宋体" w:eastAsia="仿宋_GB2312" w:cs="宋体"/>
          <w:color w:val="auto"/>
          <w:kern w:val="0"/>
          <w:sz w:val="32"/>
          <w:szCs w:val="32"/>
        </w:rPr>
      </w:pPr>
      <w:r>
        <w:rPr>
          <w:rFonts w:hint="eastAsia" w:ascii="仿宋_GB2312" w:hAnsi="宋体" w:eastAsia="仿宋_GB2312" w:cs="宋体"/>
          <w:b/>
          <w:bCs/>
          <w:color w:val="auto"/>
          <w:kern w:val="0"/>
          <w:sz w:val="32"/>
          <w:szCs w:val="32"/>
        </w:rPr>
        <w:t>6.</w:t>
      </w:r>
      <w:r>
        <w:rPr>
          <w:rFonts w:hint="eastAsia" w:ascii="仿宋_GB2312" w:hAnsi="仿宋_GB2312" w:eastAsia="仿宋_GB2312" w:cs="仿宋_GB2312"/>
          <w:b/>
          <w:bCs/>
          <w:color w:val="auto"/>
          <w:sz w:val="32"/>
          <w:szCs w:val="32"/>
          <w:lang w:bidi="ar"/>
        </w:rPr>
        <w:t>推动视听产业升级，增强产业高质量发展动能。</w:t>
      </w:r>
      <w:r>
        <w:rPr>
          <w:rFonts w:hint="eastAsia" w:ascii="仿宋_GB2312" w:hAnsi="宋体" w:eastAsia="仿宋_GB2312" w:cs="宋体"/>
          <w:color w:val="auto"/>
          <w:kern w:val="0"/>
          <w:sz w:val="32"/>
          <w:szCs w:val="32"/>
        </w:rPr>
        <w:t>一是持续优化营商环境</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着力打造具有首都视听特色的“广纳贤、电小二”政务服务品牌。二是加速推进产业集群发展</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促进</w:t>
      </w:r>
      <w:r>
        <w:rPr>
          <w:rFonts w:hint="eastAsia" w:ascii="仿宋_GB2312" w:hAnsi="宋体" w:eastAsia="仿宋_GB2312" w:cs="宋体"/>
          <w:color w:val="auto"/>
          <w:kern w:val="0"/>
          <w:sz w:val="32"/>
          <w:szCs w:val="32"/>
        </w:rPr>
        <w:t>视听产业园区梯次、协同建设。三是依托中国广电精品创作大会等重点活动</w:t>
      </w:r>
      <w:r>
        <w:rPr>
          <w:rFonts w:hint="eastAsia" w:ascii="仿宋_GB2312" w:hAnsi="宋体" w:eastAsia="仿宋_GB2312" w:cs="宋体"/>
          <w:color w:val="auto"/>
          <w:kern w:val="0"/>
          <w:sz w:val="32"/>
          <w:szCs w:val="32"/>
          <w:lang w:eastAsia="zh-CN"/>
        </w:rPr>
        <w:t>，定向邀约</w:t>
      </w:r>
      <w:r>
        <w:rPr>
          <w:rFonts w:hint="eastAsia" w:ascii="仿宋_GB2312" w:hAnsi="宋体" w:eastAsia="仿宋_GB2312" w:cs="宋体"/>
          <w:color w:val="auto"/>
          <w:kern w:val="0"/>
          <w:sz w:val="32"/>
          <w:szCs w:val="32"/>
        </w:rPr>
        <w:t>企业对接洽谈，推动项目落地北京。</w:t>
      </w:r>
    </w:p>
    <w:p w14:paraId="037CFE35">
      <w:pPr>
        <w:adjustRightInd w:val="0"/>
        <w:snapToGrid w:val="0"/>
        <w:spacing w:line="560" w:lineRule="exact"/>
        <w:ind w:firstLine="643" w:firstLineChars="200"/>
        <w:outlineLvl w:val="2"/>
        <w:rPr>
          <w:rFonts w:ascii="仿宋_GB2312" w:hAnsi="仿宋_GB2312" w:eastAsia="仿宋_GB2312" w:cs="仿宋_GB2312"/>
          <w:color w:val="auto"/>
          <w:sz w:val="32"/>
          <w:szCs w:val="32"/>
          <w:lang w:bidi="ar"/>
        </w:rPr>
      </w:pPr>
      <w:r>
        <w:rPr>
          <w:rFonts w:hint="eastAsia" w:ascii="仿宋_GB2312" w:hAnsi="宋体" w:eastAsia="仿宋_GB2312" w:cs="宋体"/>
          <w:b/>
          <w:bCs/>
          <w:color w:val="auto"/>
          <w:kern w:val="0"/>
          <w:sz w:val="32"/>
          <w:szCs w:val="32"/>
        </w:rPr>
        <w:t>7.推进媒体深度融合，构建新型全媒体传播体系。</w:t>
      </w:r>
      <w:r>
        <w:rPr>
          <w:rFonts w:hint="eastAsia" w:ascii="仿宋_GB2312" w:hAnsi="宋体" w:eastAsia="仿宋_GB2312" w:cs="宋体"/>
          <w:color w:val="auto"/>
          <w:kern w:val="0"/>
          <w:sz w:val="32"/>
          <w:szCs w:val="32"/>
        </w:rPr>
        <w:t>一</w:t>
      </w:r>
      <w:r>
        <w:rPr>
          <w:rFonts w:hint="eastAsia" w:ascii="仿宋_GB2312" w:hAnsi="仿宋_GB2312" w:eastAsia="仿宋_GB2312" w:cs="仿宋_GB2312"/>
          <w:color w:val="auto"/>
          <w:sz w:val="32"/>
          <w:szCs w:val="32"/>
          <w:lang w:bidi="ar"/>
        </w:rPr>
        <w:t>是广电新媒体建设持续发力，矩阵账号粉丝数量</w:t>
      </w:r>
      <w:r>
        <w:rPr>
          <w:rFonts w:hint="eastAsia" w:ascii="仿宋_GB2312" w:hAnsi="仿宋_GB2312" w:eastAsia="仿宋_GB2312" w:cs="仿宋_GB2312"/>
          <w:color w:val="auto"/>
          <w:sz w:val="32"/>
          <w:szCs w:val="32"/>
          <w:lang w:val="en-US" w:eastAsia="zh-CN" w:bidi="ar"/>
        </w:rPr>
        <w:t>提升效果明显</w:t>
      </w:r>
      <w:r>
        <w:rPr>
          <w:rFonts w:hint="eastAsia" w:ascii="仿宋_GB2312" w:hAnsi="仿宋_GB2312" w:eastAsia="仿宋_GB2312" w:cs="仿宋_GB2312"/>
          <w:color w:val="auto"/>
          <w:sz w:val="32"/>
          <w:szCs w:val="32"/>
          <w:lang w:bidi="ar"/>
        </w:rPr>
        <w:t>，“北京时间新媒体传播矩阵”获评全国广播电视媒体融合典型案例。</w:t>
      </w:r>
      <w:r>
        <w:rPr>
          <w:rFonts w:hint="eastAsia" w:ascii="仿宋_GB2312" w:hAnsi="仿宋_GB2312" w:eastAsia="仿宋_GB2312" w:cs="仿宋_GB2312"/>
          <w:color w:val="auto"/>
          <w:sz w:val="32"/>
          <w:szCs w:val="32"/>
        </w:rPr>
        <w:t>二是</w:t>
      </w:r>
      <w:r>
        <w:rPr>
          <w:rFonts w:hint="eastAsia" w:ascii="仿宋_GB2312" w:hAnsi="仿宋_GB2312" w:eastAsia="仿宋_GB2312" w:cs="仿宋_GB2312"/>
          <w:color w:val="auto"/>
          <w:sz w:val="32"/>
          <w:szCs w:val="32"/>
          <w:lang w:eastAsia="zh-Hans"/>
        </w:rPr>
        <w:t>媒体融合技术落地转化走深走实</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开展媒体融合创新技术与服务应用遴选推广计划，</w:t>
      </w:r>
      <w:r>
        <w:rPr>
          <w:rFonts w:hint="eastAsia" w:ascii="仿宋_GB2312" w:hAnsi="仿宋_GB2312" w:eastAsia="仿宋_GB2312" w:cs="仿宋_GB2312"/>
          <w:color w:val="auto"/>
          <w:sz w:val="32"/>
          <w:szCs w:val="32"/>
          <w:lang w:bidi="ar"/>
        </w:rPr>
        <w:t>以技术创新赋能融媒发展。</w:t>
      </w:r>
    </w:p>
    <w:p w14:paraId="56D1595E">
      <w:pPr>
        <w:adjustRightInd w:val="0"/>
        <w:snapToGrid w:val="0"/>
        <w:spacing w:line="560" w:lineRule="exact"/>
        <w:ind w:firstLine="643" w:firstLineChars="200"/>
        <w:outlineLvl w:val="2"/>
        <w:rPr>
          <w:rFonts w:ascii="仿宋_GB2312" w:hAnsi="宋体" w:eastAsia="仿宋_GB2312" w:cs="宋体"/>
          <w:color w:val="auto"/>
          <w:kern w:val="0"/>
          <w:sz w:val="32"/>
          <w:szCs w:val="32"/>
        </w:rPr>
      </w:pPr>
      <w:r>
        <w:rPr>
          <w:rFonts w:hint="eastAsia" w:ascii="仿宋_GB2312" w:hAnsi="宋体" w:eastAsia="仿宋_GB2312" w:cs="宋体"/>
          <w:b/>
          <w:bCs/>
          <w:color w:val="auto"/>
          <w:kern w:val="0"/>
          <w:sz w:val="32"/>
          <w:szCs w:val="32"/>
        </w:rPr>
        <w:t>8.扩大对外合作交流，提升视听国际传播能力。</w:t>
      </w:r>
      <w:r>
        <w:rPr>
          <w:rFonts w:hint="eastAsia" w:ascii="仿宋_GB2312" w:hAnsi="宋体" w:eastAsia="仿宋_GB2312" w:cs="宋体"/>
          <w:color w:val="auto"/>
          <w:kern w:val="0"/>
          <w:sz w:val="32"/>
          <w:szCs w:val="32"/>
        </w:rPr>
        <w:t>一是高站位服务外交大局</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在习近平总书记访问哈萨克斯坦、秘鲁之际，《我的阿勒泰》《玫瑰的故事》登陆当地主流电视台</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圆满</w:t>
      </w:r>
      <w:r>
        <w:rPr>
          <w:rFonts w:hint="eastAsia" w:ascii="仿宋_GB2312" w:hAnsi="宋体" w:eastAsia="仿宋_GB2312" w:cs="宋体"/>
          <w:color w:val="auto"/>
          <w:kern w:val="0"/>
          <w:sz w:val="32"/>
          <w:szCs w:val="32"/>
        </w:rPr>
        <w:t>承办第六届中非媒体合作论坛，集中推介“北京大视听”发展成果。二是发挥奖励扶持资金导向作用，组织视听科技企业参加</w:t>
      </w:r>
      <w:r>
        <w:rPr>
          <w:rFonts w:hint="eastAsia" w:ascii="仿宋_GB2312" w:hAnsi="宋体" w:eastAsia="仿宋_GB2312" w:cs="宋体"/>
          <w:color w:val="auto"/>
          <w:kern w:val="0"/>
          <w:sz w:val="32"/>
          <w:szCs w:val="32"/>
          <w:lang w:val="en-US" w:eastAsia="zh-CN"/>
        </w:rPr>
        <w:t>国际展会</w:t>
      </w:r>
      <w:r>
        <w:rPr>
          <w:rFonts w:hint="eastAsia" w:ascii="仿宋_GB2312" w:hAnsi="宋体" w:eastAsia="仿宋_GB2312" w:cs="宋体"/>
          <w:color w:val="auto"/>
          <w:kern w:val="0"/>
          <w:sz w:val="32"/>
          <w:szCs w:val="32"/>
        </w:rPr>
        <w:t>，推动新视听内容和技术“走出去”</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三是搭建广电视听国际交流合作平台</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吸引多个国家和地区参加，深化视听交流合作。</w:t>
      </w:r>
    </w:p>
    <w:p w14:paraId="494E98A8">
      <w:pPr>
        <w:adjustRightInd w:val="0"/>
        <w:snapToGrid w:val="0"/>
        <w:spacing w:line="560" w:lineRule="exact"/>
        <w:ind w:firstLine="643" w:firstLineChars="200"/>
        <w:outlineLvl w:val="2"/>
        <w:rPr>
          <w:rFonts w:ascii="仿宋_GB2312" w:hAnsi="宋体" w:eastAsia="仿宋_GB2312" w:cs="宋体"/>
          <w:color w:val="auto"/>
          <w:kern w:val="0"/>
          <w:sz w:val="32"/>
          <w:szCs w:val="32"/>
        </w:rPr>
      </w:pPr>
      <w:r>
        <w:rPr>
          <w:rFonts w:hint="eastAsia" w:ascii="仿宋_GB2312" w:hAnsi="宋体" w:eastAsia="仿宋_GB2312" w:cs="宋体"/>
          <w:b/>
          <w:bCs/>
          <w:color w:val="auto"/>
          <w:kern w:val="0"/>
          <w:sz w:val="32"/>
          <w:szCs w:val="32"/>
        </w:rPr>
        <w:t>9.坚持固本强基，全力抓好视听行业人才队伍建设。</w:t>
      </w:r>
      <w:r>
        <w:rPr>
          <w:rFonts w:ascii="仿宋_GB2312" w:hAnsi="宋体" w:eastAsia="仿宋_GB2312" w:cs="宋体"/>
          <w:color w:val="auto"/>
          <w:kern w:val="0"/>
          <w:sz w:val="32"/>
          <w:szCs w:val="32"/>
        </w:rPr>
        <w:t>一是打造人才培养品牌</w:t>
      </w:r>
      <w:r>
        <w:rPr>
          <w:rFonts w:hint="eastAsia" w:ascii="仿宋_GB2312" w:hAnsi="宋体" w:eastAsia="仿宋_GB2312" w:cs="宋体"/>
          <w:color w:val="auto"/>
          <w:kern w:val="0"/>
          <w:sz w:val="32"/>
          <w:szCs w:val="32"/>
          <w:lang w:eastAsia="zh-CN"/>
        </w:rPr>
        <w:t>，</w:t>
      </w:r>
      <w:r>
        <w:rPr>
          <w:rFonts w:ascii="仿宋_GB2312" w:hAnsi="宋体" w:eastAsia="仿宋_GB2312" w:cs="宋体"/>
          <w:color w:val="auto"/>
          <w:kern w:val="0"/>
          <w:sz w:val="32"/>
          <w:szCs w:val="32"/>
        </w:rPr>
        <w:t>组织开展首届“京琅琊”人才遴选，吸引行业人才申报</w:t>
      </w: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发布首届入选名单</w:t>
      </w: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二是深化干部队伍建设</w:t>
      </w:r>
      <w:r>
        <w:rPr>
          <w:rFonts w:hint="eastAsia" w:ascii="仿宋_GB2312" w:hAnsi="宋体" w:eastAsia="仿宋_GB2312" w:cs="宋体"/>
          <w:color w:val="auto"/>
          <w:kern w:val="0"/>
          <w:sz w:val="32"/>
          <w:szCs w:val="32"/>
          <w:lang w:eastAsia="zh-CN"/>
        </w:rPr>
        <w:t>，</w:t>
      </w:r>
      <w:r>
        <w:rPr>
          <w:rFonts w:ascii="仿宋_GB2312" w:hAnsi="宋体" w:eastAsia="仿宋_GB2312" w:cs="宋体"/>
          <w:color w:val="auto"/>
          <w:kern w:val="0"/>
          <w:sz w:val="32"/>
          <w:szCs w:val="32"/>
        </w:rPr>
        <w:t>干部队伍结构大幅优化，强化考核结果使用，组织运行效能明显提升。</w:t>
      </w:r>
    </w:p>
    <w:p w14:paraId="412F301C">
      <w:pPr>
        <w:adjustRightInd w:val="0"/>
        <w:snapToGrid w:val="0"/>
        <w:spacing w:line="560" w:lineRule="exact"/>
        <w:ind w:firstLine="640" w:firstLineChars="200"/>
        <w:outlineLvl w:val="1"/>
        <w:rPr>
          <w:rFonts w:ascii="楷体_GB2312" w:hAnsi="楷体" w:eastAsia="楷体_GB2312" w:cs="楷体_GB2312"/>
          <w:color w:val="auto"/>
          <w:sz w:val="32"/>
          <w:szCs w:val="32"/>
        </w:rPr>
      </w:pPr>
      <w:r>
        <w:rPr>
          <w:rFonts w:hint="eastAsia" w:ascii="楷体_GB2312" w:hAnsi="楷体" w:eastAsia="楷体_GB2312" w:cs="楷体_GB2312"/>
          <w:color w:val="auto"/>
          <w:sz w:val="32"/>
          <w:szCs w:val="32"/>
        </w:rPr>
        <w:t>（二）效果实现情况分析</w:t>
      </w:r>
    </w:p>
    <w:p w14:paraId="3F16B348">
      <w:pPr>
        <w:adjustRightInd w:val="0"/>
        <w:snapToGrid w:val="0"/>
        <w:spacing w:line="560" w:lineRule="exact"/>
        <w:ind w:firstLine="640" w:firstLineChars="200"/>
        <w:outlineLvl w:val="2"/>
        <w:rPr>
          <w:rFonts w:ascii="仿宋_GB2312" w:hAnsi="Calibri" w:eastAsia="仿宋_GB2312"/>
          <w:color w:val="auto"/>
          <w:sz w:val="32"/>
          <w:szCs w:val="32"/>
          <w:lang w:bidi="ar"/>
        </w:rPr>
      </w:pPr>
      <w:r>
        <w:rPr>
          <w:rFonts w:hint="eastAsia" w:ascii="仿宋_GB2312" w:hAnsi="Calibri" w:eastAsia="仿宋_GB2312"/>
          <w:color w:val="auto"/>
          <w:sz w:val="32"/>
          <w:szCs w:val="32"/>
          <w:lang w:bidi="ar"/>
        </w:rPr>
        <w:t>1.做强核心宣传和理论宣传，增强主流舆论传播力，打造宣传思想文化工作新格局。</w:t>
      </w:r>
    </w:p>
    <w:p w14:paraId="29EBA91B">
      <w:pPr>
        <w:adjustRightInd w:val="0"/>
        <w:snapToGrid w:val="0"/>
        <w:spacing w:line="560" w:lineRule="exact"/>
        <w:ind w:firstLine="640" w:firstLineChars="200"/>
        <w:outlineLvl w:val="2"/>
        <w:rPr>
          <w:rFonts w:ascii="仿宋_GB2312" w:hAnsi="Calibri" w:eastAsia="仿宋_GB2312"/>
          <w:color w:val="auto"/>
          <w:sz w:val="32"/>
          <w:szCs w:val="32"/>
          <w:lang w:bidi="ar"/>
        </w:rPr>
      </w:pPr>
      <w:r>
        <w:rPr>
          <w:rFonts w:hint="eastAsia" w:ascii="仿宋_GB2312" w:hAnsi="Calibri" w:eastAsia="仿宋_GB2312"/>
          <w:color w:val="auto"/>
          <w:sz w:val="32"/>
          <w:szCs w:val="32"/>
          <w:lang w:bidi="ar"/>
        </w:rPr>
        <w:t>2.推进“北京大视听”品牌建设，打造出一批彰显时代特色、中国精神、北京风格的扛鼎之作，在精品创作方面持续领跑全国。</w:t>
      </w:r>
    </w:p>
    <w:p w14:paraId="2D49B304">
      <w:pPr>
        <w:adjustRightInd w:val="0"/>
        <w:snapToGrid w:val="0"/>
        <w:spacing w:line="560" w:lineRule="exact"/>
        <w:ind w:firstLine="640" w:firstLineChars="200"/>
        <w:outlineLvl w:val="2"/>
        <w:rPr>
          <w:rFonts w:ascii="仿宋_GB2312" w:hAnsi="Calibri" w:eastAsia="仿宋_GB2312"/>
          <w:color w:val="auto"/>
          <w:sz w:val="32"/>
          <w:szCs w:val="32"/>
          <w:lang w:bidi="ar"/>
        </w:rPr>
      </w:pPr>
      <w:r>
        <w:rPr>
          <w:rFonts w:hint="eastAsia" w:ascii="仿宋_GB2312" w:hAnsi="Calibri" w:eastAsia="仿宋_GB2312"/>
          <w:color w:val="auto"/>
          <w:sz w:val="32"/>
          <w:szCs w:val="32"/>
          <w:lang w:bidi="ar"/>
        </w:rPr>
        <w:t>3.推动广播电视科技创新，引领技术进步，助力北京市超高清视听产业链优化升级、提质增效、创新发展。</w:t>
      </w:r>
    </w:p>
    <w:p w14:paraId="1D5D05D3">
      <w:pPr>
        <w:adjustRightInd w:val="0"/>
        <w:snapToGrid w:val="0"/>
        <w:spacing w:line="560" w:lineRule="exact"/>
        <w:ind w:firstLine="640" w:firstLineChars="200"/>
        <w:outlineLvl w:val="2"/>
        <w:rPr>
          <w:rFonts w:ascii="仿宋_GB2312" w:hAnsi="Calibri" w:eastAsia="仿宋_GB2312"/>
          <w:color w:val="auto"/>
          <w:sz w:val="32"/>
          <w:szCs w:val="32"/>
          <w:lang w:bidi="ar"/>
        </w:rPr>
      </w:pPr>
      <w:r>
        <w:rPr>
          <w:rFonts w:hint="eastAsia" w:ascii="仿宋_GB2312" w:hAnsi="Calibri" w:eastAsia="仿宋_GB2312"/>
          <w:color w:val="auto"/>
          <w:sz w:val="32"/>
          <w:szCs w:val="32"/>
          <w:lang w:bidi="ar"/>
        </w:rPr>
        <w:t>4.着力提升公共服务标准化、均等化、数字化、优质化、品牌化水平，保障人民群众基本公共文化权益。</w:t>
      </w:r>
    </w:p>
    <w:p w14:paraId="5032C5D8">
      <w:pPr>
        <w:adjustRightInd w:val="0"/>
        <w:snapToGrid w:val="0"/>
        <w:spacing w:line="560" w:lineRule="exact"/>
        <w:ind w:firstLine="640" w:firstLineChars="200"/>
        <w:outlineLvl w:val="2"/>
        <w:rPr>
          <w:rFonts w:ascii="仿宋_GB2312" w:hAnsi="Calibri" w:eastAsia="仿宋_GB2312"/>
          <w:color w:val="auto"/>
          <w:sz w:val="32"/>
          <w:szCs w:val="32"/>
          <w:lang w:bidi="ar"/>
        </w:rPr>
      </w:pPr>
      <w:r>
        <w:rPr>
          <w:rFonts w:hint="eastAsia" w:ascii="仿宋_GB2312" w:hAnsi="Calibri" w:eastAsia="仿宋_GB2312"/>
          <w:color w:val="auto"/>
          <w:sz w:val="32"/>
          <w:szCs w:val="32"/>
          <w:lang w:bidi="ar"/>
        </w:rPr>
        <w:t>5.深化监测监管与行业治理体系建设，夯实安全播出及网络安全基础保障，促进行业管理优化升级。</w:t>
      </w:r>
    </w:p>
    <w:p w14:paraId="3B970636">
      <w:pPr>
        <w:adjustRightInd w:val="0"/>
        <w:snapToGrid w:val="0"/>
        <w:spacing w:line="560" w:lineRule="exact"/>
        <w:ind w:firstLine="640" w:firstLineChars="200"/>
        <w:outlineLvl w:val="2"/>
        <w:rPr>
          <w:rFonts w:ascii="仿宋_GB2312" w:hAnsi="Calibri" w:eastAsia="仿宋_GB2312"/>
          <w:color w:val="auto"/>
          <w:sz w:val="32"/>
          <w:szCs w:val="32"/>
          <w:lang w:bidi="ar"/>
        </w:rPr>
      </w:pPr>
      <w:r>
        <w:rPr>
          <w:rFonts w:hint="eastAsia" w:ascii="仿宋_GB2312" w:hAnsi="Calibri" w:eastAsia="仿宋_GB2312"/>
          <w:color w:val="auto"/>
          <w:sz w:val="32"/>
          <w:szCs w:val="32"/>
          <w:lang w:bidi="ar"/>
        </w:rPr>
        <w:t>6.</w:t>
      </w:r>
      <w:r>
        <w:rPr>
          <w:rFonts w:hint="eastAsia" w:ascii="仿宋_GB2312" w:hAnsi="宋体" w:eastAsia="仿宋_GB2312" w:cs="宋体"/>
          <w:color w:val="auto"/>
          <w:kern w:val="0"/>
          <w:sz w:val="32"/>
          <w:szCs w:val="32"/>
        </w:rPr>
        <w:t>激发行业创新发展活力，促进北京视听产业优势资源集聚，推动北京新视听产业高质量发展。</w:t>
      </w:r>
    </w:p>
    <w:p w14:paraId="7D548718">
      <w:pPr>
        <w:adjustRightInd w:val="0"/>
        <w:snapToGrid w:val="0"/>
        <w:spacing w:line="560" w:lineRule="exact"/>
        <w:ind w:firstLine="640" w:firstLineChars="200"/>
        <w:outlineLvl w:val="2"/>
        <w:rPr>
          <w:rFonts w:ascii="仿宋_GB2312" w:hAnsi="Calibri"/>
          <w:color w:val="auto"/>
          <w:sz w:val="32"/>
          <w:szCs w:val="32"/>
          <w:lang w:bidi="ar"/>
        </w:rPr>
      </w:pPr>
      <w:r>
        <w:rPr>
          <w:rFonts w:hint="eastAsia" w:ascii="仿宋_GB2312" w:hAnsi="Calibri" w:eastAsia="仿宋_GB2312"/>
          <w:color w:val="auto"/>
          <w:sz w:val="32"/>
          <w:szCs w:val="32"/>
          <w:lang w:bidi="ar"/>
        </w:rPr>
        <w:t>7.推进媒体融合深度发展，推动建立以内容建设为根本、先进技术为支撑、创新管理为保障的全媒体传播体系</w:t>
      </w:r>
      <w:r>
        <w:rPr>
          <w:rFonts w:hint="eastAsia"/>
          <w:color w:val="auto"/>
        </w:rPr>
        <w:t>。</w:t>
      </w:r>
    </w:p>
    <w:p w14:paraId="456B92FF">
      <w:pPr>
        <w:adjustRightInd w:val="0"/>
        <w:snapToGrid w:val="0"/>
        <w:spacing w:line="560" w:lineRule="exact"/>
        <w:ind w:firstLine="640" w:firstLineChars="200"/>
        <w:outlineLvl w:val="2"/>
        <w:rPr>
          <w:rFonts w:ascii="仿宋_GB2312" w:hAnsi="Calibri" w:eastAsia="仿宋_GB2312"/>
          <w:color w:val="auto"/>
          <w:sz w:val="32"/>
          <w:szCs w:val="32"/>
          <w:lang w:bidi="ar"/>
        </w:rPr>
      </w:pPr>
      <w:r>
        <w:rPr>
          <w:rFonts w:hint="eastAsia" w:ascii="仿宋_GB2312" w:hAnsi="Calibri" w:eastAsia="仿宋_GB2312"/>
          <w:color w:val="auto"/>
          <w:sz w:val="32"/>
          <w:szCs w:val="32"/>
          <w:lang w:bidi="ar"/>
        </w:rPr>
        <w:t>8.搭建国际交流合作平台，促进广播电视和网络视听领域创新技术和优秀作品的国际推广，提升北京广播电视产业国际影响力。</w:t>
      </w:r>
    </w:p>
    <w:p w14:paraId="61BEA2C7">
      <w:pPr>
        <w:adjustRightInd w:val="0"/>
        <w:snapToGrid w:val="0"/>
        <w:spacing w:line="560" w:lineRule="exact"/>
        <w:ind w:firstLine="640" w:firstLineChars="200"/>
        <w:outlineLvl w:val="2"/>
        <w:rPr>
          <w:rFonts w:ascii="仿宋_GB2312" w:hAnsi="Calibri" w:eastAsia="仿宋_GB2312"/>
          <w:color w:val="auto"/>
          <w:sz w:val="32"/>
          <w:szCs w:val="32"/>
          <w:lang w:bidi="ar"/>
        </w:rPr>
      </w:pPr>
      <w:r>
        <w:rPr>
          <w:rFonts w:hint="eastAsia" w:ascii="仿宋_GB2312" w:hAnsi="Calibri" w:eastAsia="仿宋_GB2312"/>
          <w:color w:val="auto"/>
          <w:sz w:val="32"/>
          <w:szCs w:val="32"/>
          <w:lang w:bidi="ar"/>
        </w:rPr>
        <w:t>9.优化建强干部队伍、盘活用活人才资源、努力构建干部人才“双轮驱动”新格局，为打造“活力广电”提供坚强的人才智力支撑。</w:t>
      </w:r>
    </w:p>
    <w:p w14:paraId="1751AB27">
      <w:pPr>
        <w:adjustRightInd w:val="0"/>
        <w:snapToGrid w:val="0"/>
        <w:spacing w:line="560" w:lineRule="exact"/>
        <w:ind w:firstLine="640" w:firstLineChars="200"/>
        <w:outlineLvl w:val="0"/>
        <w:rPr>
          <w:rFonts w:ascii="黑体" w:hAnsi="黑体" w:eastAsia="黑体" w:cs="宋体"/>
          <w:color w:val="auto"/>
          <w:kern w:val="0"/>
          <w:sz w:val="32"/>
          <w:szCs w:val="32"/>
        </w:rPr>
      </w:pPr>
      <w:r>
        <w:rPr>
          <w:rFonts w:hint="eastAsia" w:ascii="黑体" w:hAnsi="黑体" w:eastAsia="黑体" w:cs="宋体"/>
          <w:color w:val="auto"/>
          <w:kern w:val="0"/>
          <w:sz w:val="32"/>
          <w:szCs w:val="32"/>
        </w:rPr>
        <w:t>四</w:t>
      </w:r>
      <w:r>
        <w:rPr>
          <w:rFonts w:ascii="黑体" w:hAnsi="黑体" w:eastAsia="黑体" w:cs="宋体"/>
          <w:color w:val="auto"/>
          <w:kern w:val="0"/>
          <w:sz w:val="32"/>
          <w:szCs w:val="32"/>
        </w:rPr>
        <w:t>、预算管理</w:t>
      </w:r>
      <w:r>
        <w:rPr>
          <w:rFonts w:hint="eastAsia" w:ascii="黑体" w:hAnsi="黑体" w:eastAsia="黑体" w:cs="宋体"/>
          <w:color w:val="auto"/>
          <w:kern w:val="0"/>
          <w:sz w:val="32"/>
          <w:szCs w:val="32"/>
        </w:rPr>
        <w:t>情况分</w:t>
      </w:r>
      <w:r>
        <w:rPr>
          <w:rFonts w:ascii="黑体" w:hAnsi="黑体" w:eastAsia="黑体" w:cs="宋体"/>
          <w:color w:val="auto"/>
          <w:kern w:val="0"/>
          <w:sz w:val="32"/>
          <w:szCs w:val="32"/>
        </w:rPr>
        <w:t>析</w:t>
      </w:r>
    </w:p>
    <w:p w14:paraId="2C459437">
      <w:pPr>
        <w:adjustRightInd w:val="0"/>
        <w:snapToGrid w:val="0"/>
        <w:spacing w:line="560" w:lineRule="exact"/>
        <w:ind w:firstLine="640" w:firstLineChars="200"/>
        <w:outlineLvl w:val="1"/>
        <w:rPr>
          <w:rFonts w:ascii="楷体_GB2312" w:hAnsi="楷体" w:eastAsia="楷体_GB2312" w:cs="楷体_GB2312"/>
          <w:color w:val="auto"/>
          <w:sz w:val="32"/>
          <w:szCs w:val="32"/>
        </w:rPr>
      </w:pPr>
      <w:r>
        <w:rPr>
          <w:rFonts w:hint="eastAsia" w:ascii="楷体_GB2312" w:hAnsi="楷体" w:eastAsia="楷体_GB2312" w:cs="楷体_GB2312"/>
          <w:color w:val="auto"/>
          <w:sz w:val="32"/>
          <w:szCs w:val="32"/>
        </w:rPr>
        <w:t>（一）财务管理</w:t>
      </w:r>
    </w:p>
    <w:p w14:paraId="269FBF19">
      <w:pPr>
        <w:adjustRightInd w:val="0"/>
        <w:snapToGrid w:val="0"/>
        <w:spacing w:line="560" w:lineRule="exact"/>
        <w:ind w:firstLine="640" w:firstLineChars="200"/>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1.</w:t>
      </w:r>
      <w:r>
        <w:rPr>
          <w:rFonts w:hint="eastAsia" w:ascii="仿宋_GB2312" w:hAnsi="宋体" w:eastAsia="仿宋_GB2312" w:cs="宋体"/>
          <w:color w:val="auto"/>
          <w:kern w:val="0"/>
          <w:sz w:val="32"/>
          <w:szCs w:val="32"/>
        </w:rPr>
        <w:t>财务管理制度健全性</w:t>
      </w:r>
    </w:p>
    <w:p w14:paraId="162B9423">
      <w:pPr>
        <w:widowControl/>
        <w:spacing w:line="560" w:lineRule="exact"/>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color w:val="auto"/>
          <w:kern w:val="0"/>
          <w:sz w:val="32"/>
          <w:szCs w:val="32"/>
          <w:lang w:eastAsia="zh-CN"/>
        </w:rPr>
        <w:t>研究</w:t>
      </w:r>
      <w:r>
        <w:rPr>
          <w:rFonts w:hint="eastAsia" w:ascii="仿宋_GB2312" w:hAnsi="仿宋_GB2312" w:eastAsia="仿宋_GB2312" w:cs="仿宋_GB2312"/>
          <w:color w:val="auto"/>
          <w:kern w:val="0"/>
          <w:sz w:val="32"/>
          <w:szCs w:val="32"/>
        </w:rPr>
        <w:t>制定财务管理、预算管理、经费支出管理、采购管理、资产管理、合同管理、绩效管理、内部审计管理等一系列管理制度，</w:t>
      </w:r>
      <w:r>
        <w:rPr>
          <w:rFonts w:hint="eastAsia" w:ascii="仿宋_GB2312" w:hAnsi="仿宋_GB2312" w:eastAsia="仿宋_GB2312" w:cs="仿宋_GB2312"/>
          <w:bCs/>
          <w:color w:val="auto"/>
          <w:sz w:val="32"/>
          <w:szCs w:val="32"/>
          <w:lang w:bidi="ar"/>
        </w:rPr>
        <w:t>为部门财务管理工作提供了有效制度保障</w:t>
      </w:r>
      <w:r>
        <w:rPr>
          <w:rFonts w:hint="eastAsia" w:ascii="仿宋_GB2312" w:hAnsi="仿宋_GB2312" w:eastAsia="仿宋_GB2312" w:cs="仿宋_GB2312"/>
          <w:color w:val="auto"/>
          <w:kern w:val="0"/>
          <w:sz w:val="32"/>
          <w:szCs w:val="32"/>
        </w:rPr>
        <w:t>。</w:t>
      </w:r>
      <w:r>
        <w:rPr>
          <w:rFonts w:ascii="仿宋_GB2312" w:hAnsi="仿宋_GB2312" w:eastAsia="仿宋_GB2312" w:cs="仿宋_GB2312"/>
          <w:color w:val="auto"/>
          <w:kern w:val="0"/>
          <w:sz w:val="32"/>
          <w:szCs w:val="32"/>
        </w:rPr>
        <w:t>202</w:t>
      </w:r>
      <w:r>
        <w:rPr>
          <w:rFonts w:hint="eastAsia" w:ascii="仿宋_GB2312" w:hAnsi="仿宋_GB2312" w:eastAsia="仿宋_GB2312" w:cs="仿宋_GB2312"/>
          <w:color w:val="auto"/>
          <w:kern w:val="0"/>
          <w:sz w:val="32"/>
          <w:szCs w:val="32"/>
        </w:rPr>
        <w:t>4年，</w:t>
      </w:r>
      <w:r>
        <w:rPr>
          <w:rFonts w:hint="eastAsia" w:ascii="仿宋_GB2312" w:hAnsi="仿宋_GB2312" w:eastAsia="仿宋_GB2312" w:cs="仿宋_GB2312"/>
          <w:color w:val="auto"/>
          <w:kern w:val="0"/>
          <w:sz w:val="32"/>
          <w:szCs w:val="32"/>
          <w:lang w:val="en-US" w:eastAsia="zh-CN"/>
        </w:rPr>
        <w:t>进一步</w:t>
      </w:r>
      <w:r>
        <w:rPr>
          <w:rFonts w:hint="eastAsia" w:ascii="仿宋_GB2312" w:hAnsi="仿宋_GB2312" w:eastAsia="仿宋_GB2312" w:cs="仿宋_GB2312"/>
          <w:color w:val="auto"/>
          <w:kern w:val="0"/>
          <w:sz w:val="32"/>
          <w:szCs w:val="32"/>
        </w:rPr>
        <w:t>强化对大额资金等重点预算的管理，</w:t>
      </w:r>
      <w:r>
        <w:rPr>
          <w:rFonts w:hint="eastAsia" w:ascii="仿宋_GB2312" w:hAnsi="仿宋_GB2312" w:eastAsia="仿宋_GB2312" w:cs="仿宋_GB2312"/>
          <w:color w:val="auto"/>
          <w:sz w:val="32"/>
          <w:szCs w:val="32"/>
        </w:rPr>
        <w:t>完善了内部决策程序和要求，强化局党组对大额资金等重点预算事项的决策覆盖度，切实加强事前事中事后全链条有效监管。</w:t>
      </w:r>
      <w:r>
        <w:rPr>
          <w:rFonts w:hint="eastAsia" w:ascii="仿宋_GB2312" w:hAnsi="仿宋_GB2312" w:eastAsia="仿宋_GB2312" w:cs="仿宋_GB2312"/>
          <w:color w:val="auto"/>
          <w:kern w:val="0"/>
          <w:sz w:val="32"/>
          <w:szCs w:val="32"/>
        </w:rPr>
        <w:t>财务管理制度更加健全。</w:t>
      </w:r>
    </w:p>
    <w:p w14:paraId="20FE13E3">
      <w:pPr>
        <w:adjustRightInd w:val="0"/>
        <w:snapToGrid w:val="0"/>
        <w:spacing w:line="560" w:lineRule="exact"/>
        <w:ind w:firstLine="640" w:firstLineChars="200"/>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2.</w:t>
      </w:r>
      <w:r>
        <w:rPr>
          <w:rFonts w:hint="eastAsia" w:ascii="仿宋_GB2312" w:hAnsi="宋体" w:eastAsia="仿宋_GB2312" w:cs="宋体"/>
          <w:color w:val="auto"/>
          <w:kern w:val="0"/>
          <w:sz w:val="32"/>
          <w:szCs w:val="32"/>
        </w:rPr>
        <w:t>资金使用合规性和安全性</w:t>
      </w:r>
    </w:p>
    <w:p w14:paraId="2D730E8A">
      <w:pPr>
        <w:widowControl/>
        <w:adjustRightInd w:val="0"/>
        <w:snapToGrid w:val="0"/>
        <w:spacing w:line="560" w:lineRule="exact"/>
        <w:ind w:firstLine="640"/>
        <w:rPr>
          <w:rFonts w:ascii="仿宋_GB2312" w:hAnsi="仿宋" w:eastAsia="仿宋_GB2312"/>
          <w:color w:val="auto"/>
          <w:sz w:val="32"/>
          <w:szCs w:val="32"/>
        </w:rPr>
      </w:pPr>
      <w:r>
        <w:rPr>
          <w:rFonts w:hint="eastAsia" w:ascii="仿宋_GB2312" w:hAnsi="仿宋" w:eastAsia="仿宋_GB2312"/>
          <w:color w:val="auto"/>
          <w:sz w:val="32"/>
          <w:szCs w:val="32"/>
        </w:rPr>
        <w:t>严格遵循国家和北京市相关财务管理法规以及局内财务管理制度，对资金的使用和支出进行管理。在资金使用监管上，落实重大支出集体决策机制，资金支出按要求履行相关报批手续。预算执行中，严格按照政府采购及局内采购管理制度和流程执行，专款专用，不存在截留、挤占、挪用、虚列支出等情况。资金使用合规、运行安全。</w:t>
      </w:r>
    </w:p>
    <w:p w14:paraId="2DB05747">
      <w:pPr>
        <w:widowControl/>
        <w:adjustRightInd w:val="0"/>
        <w:snapToGrid w:val="0"/>
        <w:spacing w:line="560" w:lineRule="exact"/>
        <w:ind w:firstLine="640"/>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rPr>
        <w:t>会计基础信息完善性</w:t>
      </w:r>
    </w:p>
    <w:p w14:paraId="164422D3">
      <w:pPr>
        <w:adjustRightInd w:val="0"/>
        <w:snapToGrid w:val="0"/>
        <w:spacing w:line="56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会计核算方面，严格按照国家统一的会计制度，以</w:t>
      </w:r>
      <w:r>
        <w:rPr>
          <w:rFonts w:ascii="仿宋_GB2312" w:hAnsi="宋体" w:eastAsia="仿宋_GB2312" w:cs="宋体"/>
          <w:color w:val="auto"/>
          <w:kern w:val="0"/>
          <w:sz w:val="32"/>
          <w:szCs w:val="32"/>
        </w:rPr>
        <w:t>实际</w:t>
      </w:r>
      <w:r>
        <w:rPr>
          <w:rFonts w:hint="eastAsia" w:ascii="仿宋_GB2312" w:hAnsi="宋体" w:eastAsia="仿宋_GB2312" w:cs="宋体"/>
          <w:color w:val="auto"/>
          <w:kern w:val="0"/>
          <w:sz w:val="32"/>
          <w:szCs w:val="32"/>
        </w:rPr>
        <w:t>发生</w:t>
      </w:r>
      <w:r>
        <w:rPr>
          <w:rFonts w:ascii="仿宋_GB2312" w:hAnsi="宋体" w:eastAsia="仿宋_GB2312" w:cs="宋体"/>
          <w:color w:val="auto"/>
          <w:kern w:val="0"/>
          <w:sz w:val="32"/>
          <w:szCs w:val="32"/>
        </w:rPr>
        <w:t>的交易或事项为依据，</w:t>
      </w:r>
      <w:r>
        <w:rPr>
          <w:rFonts w:hint="eastAsia" w:ascii="仿宋_GB2312" w:hAnsi="宋体" w:eastAsia="仿宋_GB2312" w:cs="宋体"/>
          <w:color w:val="auto"/>
          <w:kern w:val="0"/>
          <w:sz w:val="32"/>
          <w:szCs w:val="32"/>
        </w:rPr>
        <w:t>准确编制财务报表报告，保障了会计核算的规范性和准确性。会计档案管理方面，对会计凭证及其附件资料进行认真整理并装订成册，确保</w:t>
      </w:r>
      <w:r>
        <w:rPr>
          <w:rFonts w:hint="eastAsia" w:ascii="仿宋_GB2312" w:hAnsi="仿宋" w:eastAsia="仿宋_GB2312"/>
          <w:color w:val="auto"/>
          <w:sz w:val="32"/>
          <w:szCs w:val="32"/>
        </w:rPr>
        <w:t>会计凭证资料保存完整、装订规范</w:t>
      </w:r>
      <w:r>
        <w:rPr>
          <w:rFonts w:hint="eastAsia" w:ascii="仿宋_GB2312" w:hAnsi="宋体" w:eastAsia="仿宋_GB2312" w:cs="宋体"/>
          <w:color w:val="auto"/>
          <w:kern w:val="0"/>
          <w:sz w:val="32"/>
          <w:szCs w:val="32"/>
        </w:rPr>
        <w:t>。会计基础信息真实、准确、完善。</w:t>
      </w:r>
    </w:p>
    <w:p w14:paraId="4322588E">
      <w:pPr>
        <w:numPr>
          <w:ilvl w:val="0"/>
          <w:numId w:val="1"/>
        </w:numPr>
        <w:adjustRightInd w:val="0"/>
        <w:snapToGrid w:val="0"/>
        <w:spacing w:line="560" w:lineRule="exact"/>
        <w:ind w:firstLine="640" w:firstLineChars="200"/>
        <w:outlineLvl w:val="1"/>
        <w:rPr>
          <w:rFonts w:ascii="楷体_GB2312" w:hAnsi="楷体" w:eastAsia="楷体_GB2312" w:cs="楷体_GB2312"/>
          <w:color w:val="auto"/>
          <w:sz w:val="32"/>
          <w:szCs w:val="32"/>
        </w:rPr>
      </w:pPr>
      <w:r>
        <w:rPr>
          <w:rFonts w:hint="eastAsia" w:ascii="楷体_GB2312" w:hAnsi="楷体" w:eastAsia="楷体_GB2312" w:cs="楷体_GB2312"/>
          <w:color w:val="auto"/>
          <w:sz w:val="32"/>
          <w:szCs w:val="32"/>
        </w:rPr>
        <w:t>资产管理</w:t>
      </w:r>
    </w:p>
    <w:p w14:paraId="326F5BCC">
      <w:pPr>
        <w:adjustRightInd w:val="0"/>
        <w:snapToGrid w:val="0"/>
        <w:spacing w:line="56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根据国家和北京市资产管理的相关规定，结合实际，制定了资产管理办法，明确了资产管理机构与职责、资产配置、资产使用</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资产</w:t>
      </w:r>
      <w:r>
        <w:rPr>
          <w:rFonts w:ascii="仿宋_GB2312" w:hAnsi="宋体" w:eastAsia="仿宋_GB2312" w:cs="宋体"/>
          <w:color w:val="auto"/>
          <w:kern w:val="0"/>
          <w:sz w:val="32"/>
          <w:szCs w:val="32"/>
        </w:rPr>
        <w:t>清查</w:t>
      </w: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资产处置等相关要求</w:t>
      </w:r>
      <w:r>
        <w:rPr>
          <w:rFonts w:hint="eastAsia" w:ascii="仿宋_GB2312" w:hAnsi="宋体" w:eastAsia="仿宋_GB2312" w:cs="宋体"/>
          <w:color w:val="auto"/>
          <w:kern w:val="0"/>
          <w:sz w:val="32"/>
          <w:szCs w:val="32"/>
        </w:rPr>
        <w:t>，规范和加强了资产管理工作。资产管理严格执行上述规定，严控资产预算，定期进行资产清查和盘点，不存在未经批准擅自出租、出借等行为，不存在因资产管理不当发生严重资产损失和丢失的情况。</w:t>
      </w:r>
    </w:p>
    <w:p w14:paraId="358E4631">
      <w:pPr>
        <w:adjustRightInd w:val="0"/>
        <w:snapToGrid w:val="0"/>
        <w:spacing w:line="560" w:lineRule="exact"/>
        <w:ind w:firstLine="640" w:firstLineChars="200"/>
        <w:outlineLvl w:val="1"/>
        <w:rPr>
          <w:rFonts w:ascii="楷体_GB2312" w:hAnsi="楷体" w:eastAsia="楷体_GB2312" w:cs="楷体_GB2312"/>
          <w:color w:val="auto"/>
          <w:sz w:val="32"/>
          <w:szCs w:val="32"/>
        </w:rPr>
      </w:pPr>
      <w:r>
        <w:rPr>
          <w:rFonts w:hint="eastAsia" w:ascii="楷体_GB2312" w:hAnsi="楷体" w:eastAsia="楷体_GB2312" w:cs="楷体_GB2312"/>
          <w:color w:val="auto"/>
          <w:sz w:val="32"/>
          <w:szCs w:val="32"/>
        </w:rPr>
        <w:t>（三）绩效管理</w:t>
      </w:r>
    </w:p>
    <w:p w14:paraId="08C4348C">
      <w:pPr>
        <w:adjustRightInd w:val="0"/>
        <w:snapToGrid w:val="0"/>
        <w:spacing w:line="560" w:lineRule="exact"/>
        <w:ind w:firstLine="640" w:firstLineChars="200"/>
        <w:rPr>
          <w:rFonts w:ascii="仿宋_GB2312" w:hAnsi="宋体" w:eastAsia="仿宋_GB2312" w:cs="宋体"/>
          <w:color w:val="auto"/>
          <w:kern w:val="0"/>
          <w:sz w:val="32"/>
          <w:szCs w:val="32"/>
        </w:rPr>
      </w:pPr>
      <w:r>
        <w:rPr>
          <w:rFonts w:hint="eastAsia" w:ascii="仿宋_GB2312" w:hAnsi="仿宋_GB2312" w:eastAsia="仿宋_GB2312" w:cs="仿宋_GB2312"/>
          <w:color w:val="auto"/>
          <w:kern w:val="0"/>
          <w:sz w:val="32"/>
          <w:szCs w:val="32"/>
          <w:lang w:eastAsia="zh-CN"/>
        </w:rPr>
        <w:t>加强</w:t>
      </w:r>
      <w:r>
        <w:rPr>
          <w:rFonts w:hint="eastAsia" w:ascii="仿宋_GB2312" w:hAnsi="仿宋_GB2312" w:eastAsia="仿宋_GB2312" w:cs="仿宋_GB2312"/>
          <w:color w:val="auto"/>
          <w:sz w:val="32"/>
          <w:szCs w:val="32"/>
        </w:rPr>
        <w:t>事前、事中、事后全流程绩效管理，着力提升绩效管理水平。做实事前绩效评估，把好预算资金分配“第一关”。优化绩效目标设置，强化绩效约束指导。</w:t>
      </w:r>
      <w:r>
        <w:rPr>
          <w:rFonts w:hint="eastAsia" w:ascii="仿宋_GB2312" w:hAnsi="宋体" w:eastAsia="仿宋_GB2312" w:cs="宋体"/>
          <w:color w:val="auto"/>
          <w:kern w:val="0"/>
          <w:sz w:val="32"/>
          <w:szCs w:val="32"/>
        </w:rPr>
        <w:t>坚持</w:t>
      </w:r>
      <w:r>
        <w:rPr>
          <w:rFonts w:ascii="仿宋_GB2312" w:hAnsi="宋体" w:eastAsia="仿宋_GB2312" w:cs="宋体"/>
          <w:color w:val="auto"/>
          <w:kern w:val="0"/>
          <w:sz w:val="32"/>
          <w:szCs w:val="32"/>
        </w:rPr>
        <w:t>日常</w:t>
      </w:r>
      <w:r>
        <w:rPr>
          <w:rFonts w:hint="eastAsia" w:ascii="仿宋_GB2312" w:eastAsia="仿宋_GB2312"/>
          <w:bCs/>
          <w:color w:val="auto"/>
          <w:sz w:val="32"/>
          <w:szCs w:val="32"/>
          <w:lang w:bidi="ar"/>
        </w:rPr>
        <w:t>监控和定期监控两手抓</w:t>
      </w:r>
      <w:r>
        <w:rPr>
          <w:rFonts w:hint="eastAsia" w:ascii="仿宋_GB2312" w:hAnsi="仿宋_GB2312" w:eastAsia="仿宋_GB2312" w:cs="仿宋_GB2312"/>
          <w:color w:val="auto"/>
          <w:sz w:val="32"/>
          <w:szCs w:val="32"/>
        </w:rPr>
        <w:t>，及时纠偏和预警。全面与重点相结合扎实推进绩效评价，提高资金配置效率和使用效益。</w:t>
      </w:r>
    </w:p>
    <w:p w14:paraId="3AA6ADEB">
      <w:pPr>
        <w:adjustRightInd w:val="0"/>
        <w:snapToGrid w:val="0"/>
        <w:spacing w:line="560" w:lineRule="exact"/>
        <w:ind w:firstLine="640" w:firstLineChars="200"/>
        <w:outlineLvl w:val="1"/>
        <w:rPr>
          <w:rFonts w:ascii="楷体_GB2312" w:hAnsi="楷体" w:eastAsia="楷体_GB2312" w:cs="楷体_GB2312"/>
          <w:color w:val="auto"/>
          <w:sz w:val="32"/>
          <w:szCs w:val="32"/>
        </w:rPr>
      </w:pPr>
      <w:r>
        <w:rPr>
          <w:rFonts w:hint="eastAsia" w:ascii="楷体_GB2312" w:hAnsi="楷体" w:eastAsia="楷体_GB2312" w:cs="楷体_GB2312"/>
          <w:color w:val="auto"/>
          <w:sz w:val="32"/>
          <w:szCs w:val="32"/>
        </w:rPr>
        <w:t>（四）结转结余率</w:t>
      </w:r>
    </w:p>
    <w:p w14:paraId="29313D70">
      <w:pPr>
        <w:adjustRightInd w:val="0"/>
        <w:snapToGrid w:val="0"/>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2024年底，结转结余资金3,930.02万元，支出预算数55,489.45万元，结转结余率7.08%，较2023年6.02%高1.06%，主要原因为：北京广播电视网络视听发展基金项目个别被扶持单位自愿放弃扶持资金。</w:t>
      </w:r>
    </w:p>
    <w:p w14:paraId="04B7FDCD">
      <w:pPr>
        <w:adjustRightInd w:val="0"/>
        <w:snapToGrid w:val="0"/>
        <w:spacing w:line="560" w:lineRule="exact"/>
        <w:ind w:firstLine="640" w:firstLineChars="200"/>
        <w:outlineLvl w:val="1"/>
        <w:rPr>
          <w:rFonts w:ascii="楷体_GB2312" w:hAnsi="楷体" w:eastAsia="楷体_GB2312" w:cs="楷体_GB2312"/>
          <w:color w:val="auto"/>
          <w:sz w:val="32"/>
          <w:szCs w:val="32"/>
        </w:rPr>
      </w:pPr>
      <w:r>
        <w:rPr>
          <w:rFonts w:hint="eastAsia" w:ascii="楷体_GB2312" w:hAnsi="楷体" w:eastAsia="楷体_GB2312" w:cs="楷体_GB2312"/>
          <w:color w:val="auto"/>
          <w:sz w:val="32"/>
          <w:szCs w:val="32"/>
        </w:rPr>
        <w:t>（五）部门预决算差异率</w:t>
      </w:r>
    </w:p>
    <w:p w14:paraId="7F20D547">
      <w:pPr>
        <w:adjustRightInd w:val="0"/>
        <w:snapToGrid w:val="0"/>
        <w:spacing w:line="560" w:lineRule="exact"/>
        <w:ind w:firstLine="640" w:firstLineChars="200"/>
        <w:rPr>
          <w:rFonts w:ascii="黑体" w:hAnsi="黑体" w:eastAsia="黑体" w:cs="宋体"/>
          <w:color w:val="auto"/>
          <w:kern w:val="0"/>
          <w:sz w:val="32"/>
          <w:szCs w:val="32"/>
        </w:rPr>
      </w:pPr>
      <w:r>
        <w:rPr>
          <w:rFonts w:hint="eastAsia" w:ascii="仿宋_GB2312" w:eastAsia="仿宋_GB2312"/>
          <w:color w:val="auto"/>
          <w:sz w:val="32"/>
          <w:szCs w:val="32"/>
        </w:rPr>
        <w:t>2024年，年初预算批复数为55,283.86万元，决算数为55,489.45万元，差异205.59万元，差异率0.37%。</w:t>
      </w:r>
    </w:p>
    <w:p w14:paraId="1387D2E1">
      <w:pPr>
        <w:adjustRightInd w:val="0"/>
        <w:snapToGrid w:val="0"/>
        <w:spacing w:line="560" w:lineRule="exact"/>
        <w:ind w:firstLine="640" w:firstLineChars="200"/>
        <w:outlineLvl w:val="0"/>
        <w:rPr>
          <w:rFonts w:ascii="黑体" w:hAnsi="黑体" w:eastAsia="黑体" w:cs="宋体"/>
          <w:color w:val="auto"/>
          <w:kern w:val="0"/>
          <w:sz w:val="32"/>
          <w:szCs w:val="32"/>
        </w:rPr>
      </w:pPr>
      <w:r>
        <w:rPr>
          <w:rFonts w:hint="eastAsia" w:ascii="黑体" w:hAnsi="黑体" w:eastAsia="黑体" w:cs="宋体"/>
          <w:color w:val="auto"/>
          <w:kern w:val="0"/>
          <w:sz w:val="32"/>
          <w:szCs w:val="32"/>
        </w:rPr>
        <w:t>五、总体评价结论</w:t>
      </w:r>
    </w:p>
    <w:p w14:paraId="29A8E01C">
      <w:pPr>
        <w:adjustRightInd w:val="0"/>
        <w:snapToGrid w:val="0"/>
        <w:spacing w:line="560" w:lineRule="exact"/>
        <w:ind w:firstLine="640" w:firstLineChars="200"/>
        <w:outlineLvl w:val="1"/>
        <w:rPr>
          <w:rFonts w:ascii="楷体_GB2312" w:hAnsi="楷体" w:eastAsia="楷体_GB2312" w:cs="楷体_GB2312"/>
          <w:color w:val="auto"/>
          <w:sz w:val="32"/>
          <w:szCs w:val="32"/>
        </w:rPr>
      </w:pPr>
      <w:r>
        <w:rPr>
          <w:rFonts w:hint="eastAsia" w:ascii="楷体_GB2312" w:hAnsi="楷体" w:eastAsia="楷体_GB2312" w:cs="楷体_GB2312"/>
          <w:color w:val="auto"/>
          <w:sz w:val="32"/>
          <w:szCs w:val="32"/>
        </w:rPr>
        <w:t>（一）评价得分情况</w:t>
      </w:r>
    </w:p>
    <w:p w14:paraId="3F403D9E">
      <w:pPr>
        <w:adjustRightInd w:val="0"/>
        <w:snapToGrid w:val="0"/>
        <w:spacing w:line="560" w:lineRule="exact"/>
        <w:ind w:firstLine="640" w:firstLineChars="200"/>
      </w:pPr>
      <w:r>
        <w:rPr>
          <w:rFonts w:hint="eastAsia" w:ascii="仿宋_GB2312" w:hAnsi="仿宋_GB2312" w:eastAsia="仿宋_GB2312" w:cs="仿宋_GB2312"/>
          <w:color w:val="auto"/>
          <w:kern w:val="0"/>
          <w:sz w:val="32"/>
          <w:szCs w:val="32"/>
        </w:rPr>
        <w:t>经过全面、系统、客观地分析评价，市广电局综合得分为</w:t>
      </w:r>
      <w:r>
        <w:rPr>
          <w:rFonts w:ascii="仿宋_GB2312" w:hAnsi="仿宋_GB2312" w:eastAsia="仿宋_GB2312" w:cs="仿宋_GB2312"/>
          <w:color w:val="auto"/>
          <w:kern w:val="0"/>
          <w:sz w:val="32"/>
          <w:szCs w:val="32"/>
        </w:rPr>
        <w:t>96.</w:t>
      </w:r>
      <w:r>
        <w:rPr>
          <w:rFonts w:hint="eastAsia" w:ascii="仿宋_GB2312" w:hAnsi="仿宋_GB2312" w:eastAsia="仿宋_GB2312" w:cs="仿宋_GB2312"/>
          <w:color w:val="auto"/>
          <w:kern w:val="0"/>
          <w:sz w:val="32"/>
          <w:szCs w:val="32"/>
        </w:rPr>
        <w:t>28分，综合评价等级为“优”。</w:t>
      </w:r>
    </w:p>
    <w:p w14:paraId="10D477F4">
      <w:pPr>
        <w:adjustRightInd w:val="0"/>
        <w:snapToGrid w:val="0"/>
        <w:spacing w:line="560" w:lineRule="exact"/>
        <w:ind w:firstLine="640" w:firstLineChars="200"/>
        <w:outlineLvl w:val="1"/>
        <w:rPr>
          <w:rFonts w:ascii="楷体_GB2312" w:hAnsi="楷体" w:eastAsia="楷体_GB2312" w:cs="楷体_GB2312"/>
          <w:color w:val="auto"/>
          <w:sz w:val="32"/>
          <w:szCs w:val="32"/>
        </w:rPr>
      </w:pPr>
      <w:r>
        <w:rPr>
          <w:rFonts w:hint="eastAsia" w:ascii="楷体_GB2312" w:hAnsi="楷体" w:eastAsia="楷体_GB2312" w:cs="楷体_GB2312"/>
          <w:color w:val="auto"/>
          <w:sz w:val="32"/>
          <w:szCs w:val="32"/>
        </w:rPr>
        <w:t>（二）存在的问题及原因分析</w:t>
      </w:r>
    </w:p>
    <w:p w14:paraId="1F3137F0">
      <w:pPr>
        <w:adjustRightInd w:val="0"/>
        <w:snapToGrid w:val="0"/>
        <w:spacing w:line="56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市广电局合理安排预算，有序推进重点任务执行，资金使用合规，部门履职效能突出。但部分项目效益指标量化程度有待提升，可衡量性仍存在不足。</w:t>
      </w:r>
    </w:p>
    <w:p w14:paraId="47E9D192">
      <w:pPr>
        <w:numPr>
          <w:ilvl w:val="255"/>
          <w:numId w:val="0"/>
        </w:numPr>
        <w:adjustRightInd w:val="0"/>
        <w:snapToGrid w:val="0"/>
        <w:spacing w:line="560" w:lineRule="exact"/>
        <w:ind w:firstLine="640" w:firstLineChars="200"/>
        <w:outlineLvl w:val="0"/>
        <w:rPr>
          <w:rFonts w:ascii="黑体" w:hAnsi="黑体" w:eastAsia="黑体" w:cs="宋体"/>
          <w:color w:val="auto"/>
          <w:kern w:val="0"/>
          <w:sz w:val="32"/>
          <w:szCs w:val="32"/>
        </w:rPr>
      </w:pPr>
      <w:r>
        <w:rPr>
          <w:rFonts w:hint="eastAsia" w:ascii="黑体" w:hAnsi="黑体" w:eastAsia="黑体" w:cs="宋体"/>
          <w:color w:val="auto"/>
          <w:kern w:val="0"/>
          <w:sz w:val="32"/>
          <w:szCs w:val="32"/>
        </w:rPr>
        <w:t>六、措施建议</w:t>
      </w:r>
    </w:p>
    <w:p w14:paraId="3A23CB0A">
      <w:pPr>
        <w:pBdr>
          <w:bottom w:val="single" w:color="FFFFFF" w:sz="4" w:space="31"/>
        </w:pBdr>
        <w:adjustRightInd w:val="0"/>
        <w:snapToGrid w:val="0"/>
        <w:spacing w:line="560" w:lineRule="exact"/>
        <w:ind w:firstLine="640" w:firstLineChars="200"/>
        <w:rPr>
          <w:rFonts w:ascii="仿宋_GB2312" w:hAnsi="宋体" w:eastAsia="仿宋_GB2312" w:cs="宋体"/>
          <w:color w:val="auto"/>
          <w:kern w:val="0"/>
          <w:sz w:val="32"/>
          <w:szCs w:val="32"/>
        </w:rPr>
        <w:sectPr>
          <w:footerReference r:id="rId3" w:type="default"/>
          <w:pgSz w:w="11906" w:h="16838"/>
          <w:pgMar w:top="2098" w:right="1474" w:bottom="1985" w:left="1588"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宋体" w:eastAsia="仿宋_GB2312" w:cs="宋体"/>
          <w:color w:val="auto"/>
          <w:kern w:val="0"/>
          <w:sz w:val="32"/>
          <w:szCs w:val="32"/>
        </w:rPr>
        <w:t>进一步强化绩效目标管理，按照“绩效指标应细化、量化，具有明确的评价标准”的原则科学设定绩效目标及绩效指标，绩效指标坚持以定量为主、定性为辅，提高绩效指标量化程度。</w:t>
      </w:r>
    </w:p>
    <w:tbl>
      <w:tblPr>
        <w:tblStyle w:val="15"/>
        <w:tblpPr w:leftFromText="180" w:rightFromText="180" w:vertAnchor="text" w:horzAnchor="page" w:tblpXSpec="center" w:tblpY="600"/>
        <w:tblOverlap w:val="never"/>
        <w:tblW w:w="58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900"/>
        <w:gridCol w:w="1235"/>
        <w:gridCol w:w="2182"/>
        <w:gridCol w:w="3286"/>
        <w:gridCol w:w="825"/>
        <w:gridCol w:w="879"/>
      </w:tblGrid>
      <w:tr w14:paraId="62160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000" w:type="pct"/>
            <w:gridSpan w:val="7"/>
            <w:tcBorders>
              <w:top w:val="nil"/>
              <w:left w:val="nil"/>
              <w:right w:val="nil"/>
            </w:tcBorders>
            <w:vAlign w:val="center"/>
          </w:tcPr>
          <w:p w14:paraId="3D5345B8">
            <w:pPr>
              <w:widowControl/>
              <w:jc w:val="center"/>
              <w:rPr>
                <w:rFonts w:hint="eastAsia" w:ascii="宋体" w:hAnsi="宋体" w:cs="宋体"/>
                <w:color w:val="auto"/>
                <w:kern w:val="0"/>
                <w:sz w:val="20"/>
                <w:szCs w:val="20"/>
              </w:rPr>
            </w:pPr>
            <w:r>
              <w:rPr>
                <w:rFonts w:hint="eastAsia" w:ascii="方正小标宋简体" w:hAnsi="方正小标宋简体" w:eastAsia="方正小标宋简体" w:cs="方正小标宋简体"/>
                <w:color w:val="auto"/>
                <w:sz w:val="44"/>
                <w:szCs w:val="44"/>
              </w:rPr>
              <w:t>2024年部门整体绩效评价指标体系评分表</w:t>
            </w:r>
          </w:p>
        </w:tc>
      </w:tr>
      <w:tr w14:paraId="2E25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000" w:type="pct"/>
            <w:gridSpan w:val="7"/>
            <w:tcBorders>
              <w:top w:val="single" w:color="auto" w:sz="4" w:space="0"/>
            </w:tcBorders>
            <w:vAlign w:val="center"/>
          </w:tcPr>
          <w:p w14:paraId="0325E847">
            <w:pPr>
              <w:widowControl/>
              <w:jc w:val="left"/>
              <w:rPr>
                <w:rFonts w:ascii="宋体" w:hAnsi="宋体" w:cs="宋体"/>
                <w:color w:val="auto"/>
                <w:kern w:val="0"/>
                <w:sz w:val="20"/>
                <w:szCs w:val="20"/>
              </w:rPr>
            </w:pPr>
            <w:r>
              <w:rPr>
                <w:rFonts w:hint="eastAsia" w:ascii="宋体" w:hAnsi="宋体" w:cs="宋体"/>
                <w:color w:val="auto"/>
                <w:kern w:val="0"/>
                <w:sz w:val="20"/>
                <w:szCs w:val="20"/>
              </w:rPr>
              <w:t>一、当年预算执行情况（20分）</w:t>
            </w:r>
          </w:p>
        </w:tc>
      </w:tr>
      <w:tr w14:paraId="32589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jc w:val="center"/>
        </w:trPr>
        <w:tc>
          <w:tcPr>
            <w:tcW w:w="313" w:type="pct"/>
            <w:vAlign w:val="center"/>
          </w:tcPr>
          <w:p w14:paraId="6B74E090">
            <w:pPr>
              <w:widowControl/>
              <w:jc w:val="center"/>
              <w:rPr>
                <w:rFonts w:ascii="宋体" w:hAnsi="宋体" w:cs="宋体"/>
                <w:color w:val="auto"/>
                <w:kern w:val="0"/>
                <w:sz w:val="20"/>
                <w:szCs w:val="20"/>
              </w:rPr>
            </w:pPr>
            <w:r>
              <w:rPr>
                <w:rFonts w:hint="eastAsia" w:ascii="宋体" w:hAnsi="宋体" w:cs="宋体"/>
                <w:color w:val="auto"/>
                <w:kern w:val="0"/>
                <w:sz w:val="20"/>
                <w:szCs w:val="20"/>
              </w:rPr>
              <w:t>一</w:t>
            </w:r>
            <w:r>
              <w:rPr>
                <w:rFonts w:ascii="宋体" w:hAnsi="宋体" w:cs="宋体"/>
                <w:color w:val="auto"/>
                <w:kern w:val="0"/>
                <w:sz w:val="20"/>
                <w:szCs w:val="20"/>
              </w:rPr>
              <w:t>级指标</w:t>
            </w:r>
            <w:r>
              <w:rPr>
                <w:rFonts w:hint="eastAsia" w:ascii="宋体" w:hAnsi="宋体" w:cs="宋体"/>
                <w:color w:val="auto"/>
                <w:kern w:val="0"/>
                <w:sz w:val="20"/>
                <w:szCs w:val="20"/>
              </w:rPr>
              <w:t>　</w:t>
            </w:r>
          </w:p>
        </w:tc>
        <w:tc>
          <w:tcPr>
            <w:tcW w:w="453" w:type="pct"/>
            <w:vAlign w:val="center"/>
          </w:tcPr>
          <w:p w14:paraId="1412ED17">
            <w:pPr>
              <w:widowControl/>
              <w:jc w:val="center"/>
              <w:rPr>
                <w:rFonts w:ascii="宋体" w:hAnsi="宋体" w:cs="宋体"/>
                <w:color w:val="auto"/>
                <w:kern w:val="0"/>
                <w:sz w:val="20"/>
                <w:szCs w:val="20"/>
              </w:rPr>
            </w:pPr>
            <w:r>
              <w:rPr>
                <w:rFonts w:hint="eastAsia" w:ascii="宋体" w:hAnsi="宋体" w:cs="宋体"/>
                <w:color w:val="auto"/>
                <w:kern w:val="0"/>
                <w:sz w:val="20"/>
                <w:szCs w:val="20"/>
              </w:rPr>
              <w:t>二</w:t>
            </w:r>
            <w:r>
              <w:rPr>
                <w:rFonts w:ascii="宋体" w:hAnsi="宋体" w:cs="宋体"/>
                <w:color w:val="auto"/>
                <w:kern w:val="0"/>
                <w:sz w:val="20"/>
                <w:szCs w:val="20"/>
              </w:rPr>
              <w:t>级</w:t>
            </w:r>
          </w:p>
          <w:p w14:paraId="6A787EB1">
            <w:pPr>
              <w:widowControl/>
              <w:jc w:val="center"/>
              <w:rPr>
                <w:rFonts w:ascii="宋体" w:hAnsi="宋体" w:cs="宋体"/>
                <w:color w:val="auto"/>
                <w:kern w:val="0"/>
                <w:sz w:val="20"/>
                <w:szCs w:val="20"/>
              </w:rPr>
            </w:pPr>
            <w:r>
              <w:rPr>
                <w:rFonts w:ascii="宋体" w:hAnsi="宋体" w:cs="宋体"/>
                <w:color w:val="auto"/>
                <w:kern w:val="0"/>
                <w:sz w:val="20"/>
                <w:szCs w:val="20"/>
              </w:rPr>
              <w:t>指标</w:t>
            </w:r>
            <w:r>
              <w:rPr>
                <w:rFonts w:hint="eastAsia" w:ascii="宋体" w:hAnsi="宋体" w:cs="宋体"/>
                <w:color w:val="auto"/>
                <w:kern w:val="0"/>
                <w:sz w:val="20"/>
                <w:szCs w:val="20"/>
              </w:rPr>
              <w:t>　</w:t>
            </w:r>
          </w:p>
        </w:tc>
        <w:tc>
          <w:tcPr>
            <w:tcW w:w="621" w:type="pct"/>
            <w:vAlign w:val="center"/>
          </w:tcPr>
          <w:p w14:paraId="6AE9E76C">
            <w:pPr>
              <w:widowControl/>
              <w:jc w:val="center"/>
              <w:rPr>
                <w:rFonts w:ascii="宋体" w:hAnsi="宋体" w:cs="宋体"/>
                <w:color w:val="auto"/>
                <w:kern w:val="0"/>
                <w:sz w:val="20"/>
                <w:szCs w:val="20"/>
              </w:rPr>
            </w:pPr>
            <w:r>
              <w:rPr>
                <w:rFonts w:hint="eastAsia" w:ascii="宋体" w:hAnsi="宋体" w:cs="宋体"/>
                <w:color w:val="auto"/>
                <w:kern w:val="0"/>
                <w:sz w:val="20"/>
                <w:szCs w:val="20"/>
              </w:rPr>
              <w:t>预算数</w:t>
            </w:r>
          </w:p>
          <w:p w14:paraId="4C8AF9A8">
            <w:pPr>
              <w:widowControl/>
              <w:jc w:val="center"/>
              <w:rPr>
                <w:rFonts w:ascii="宋体" w:hAnsi="宋体" w:cs="宋体"/>
                <w:color w:val="auto"/>
                <w:kern w:val="0"/>
                <w:sz w:val="20"/>
                <w:szCs w:val="20"/>
              </w:rPr>
            </w:pPr>
            <w:r>
              <w:rPr>
                <w:rFonts w:hint="eastAsia" w:ascii="宋体" w:hAnsi="宋体" w:cs="宋体"/>
                <w:color w:val="auto"/>
                <w:kern w:val="0"/>
                <w:sz w:val="20"/>
                <w:szCs w:val="20"/>
              </w:rPr>
              <w:t>（万元）</w:t>
            </w:r>
          </w:p>
        </w:tc>
        <w:tc>
          <w:tcPr>
            <w:tcW w:w="1098" w:type="pct"/>
            <w:vAlign w:val="center"/>
          </w:tcPr>
          <w:p w14:paraId="36E8AE9F">
            <w:pPr>
              <w:widowControl/>
              <w:jc w:val="center"/>
              <w:rPr>
                <w:rFonts w:ascii="宋体" w:hAnsi="宋体" w:cs="宋体"/>
                <w:color w:val="auto"/>
                <w:kern w:val="0"/>
                <w:sz w:val="20"/>
                <w:szCs w:val="20"/>
              </w:rPr>
            </w:pPr>
            <w:r>
              <w:rPr>
                <w:rFonts w:hint="eastAsia" w:ascii="宋体" w:hAnsi="宋体" w:cs="宋体"/>
                <w:color w:val="auto"/>
                <w:kern w:val="0"/>
                <w:sz w:val="20"/>
                <w:szCs w:val="20"/>
              </w:rPr>
              <w:t>执行数（万元）</w:t>
            </w:r>
          </w:p>
        </w:tc>
        <w:tc>
          <w:tcPr>
            <w:tcW w:w="1654" w:type="pct"/>
            <w:vAlign w:val="center"/>
          </w:tcPr>
          <w:p w14:paraId="4F318257">
            <w:pPr>
              <w:widowControl/>
              <w:jc w:val="center"/>
              <w:rPr>
                <w:rFonts w:ascii="宋体" w:hAnsi="宋体" w:cs="宋体"/>
                <w:color w:val="auto"/>
                <w:kern w:val="0"/>
                <w:sz w:val="20"/>
                <w:szCs w:val="20"/>
              </w:rPr>
            </w:pPr>
            <w:r>
              <w:rPr>
                <w:rFonts w:hint="eastAsia" w:ascii="宋体" w:hAnsi="宋体" w:cs="宋体"/>
                <w:color w:val="auto"/>
                <w:kern w:val="0"/>
                <w:sz w:val="20"/>
                <w:szCs w:val="20"/>
              </w:rPr>
              <w:t>预算执行率</w:t>
            </w:r>
          </w:p>
        </w:tc>
        <w:tc>
          <w:tcPr>
            <w:tcW w:w="415" w:type="pct"/>
            <w:vAlign w:val="center"/>
          </w:tcPr>
          <w:p w14:paraId="780B35B8">
            <w:pPr>
              <w:widowControl/>
              <w:jc w:val="center"/>
              <w:rPr>
                <w:rFonts w:ascii="宋体" w:hAnsi="宋体" w:cs="宋体"/>
                <w:color w:val="auto"/>
                <w:kern w:val="0"/>
                <w:sz w:val="20"/>
                <w:szCs w:val="20"/>
              </w:rPr>
            </w:pPr>
            <w:r>
              <w:rPr>
                <w:rFonts w:hint="eastAsia" w:ascii="宋体" w:hAnsi="宋体" w:cs="宋体"/>
                <w:color w:val="auto"/>
                <w:kern w:val="0"/>
                <w:sz w:val="20"/>
                <w:szCs w:val="20"/>
              </w:rPr>
              <w:t>分值</w:t>
            </w:r>
          </w:p>
        </w:tc>
        <w:tc>
          <w:tcPr>
            <w:tcW w:w="442" w:type="pct"/>
            <w:vAlign w:val="center"/>
          </w:tcPr>
          <w:p w14:paraId="388572E2">
            <w:pPr>
              <w:widowControl/>
              <w:jc w:val="center"/>
              <w:rPr>
                <w:rFonts w:ascii="宋体" w:hAnsi="宋体" w:cs="宋体"/>
                <w:color w:val="auto"/>
                <w:kern w:val="0"/>
                <w:sz w:val="20"/>
                <w:szCs w:val="20"/>
              </w:rPr>
            </w:pPr>
            <w:r>
              <w:rPr>
                <w:rFonts w:hint="eastAsia" w:ascii="宋体" w:hAnsi="宋体" w:cs="宋体"/>
                <w:color w:val="auto"/>
                <w:kern w:val="0"/>
                <w:sz w:val="20"/>
                <w:szCs w:val="20"/>
              </w:rPr>
              <w:t>得分</w:t>
            </w:r>
          </w:p>
        </w:tc>
      </w:tr>
      <w:tr w14:paraId="371B6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13" w:type="pct"/>
            <w:vMerge w:val="restart"/>
            <w:vAlign w:val="center"/>
          </w:tcPr>
          <w:p w14:paraId="761D4F88">
            <w:pPr>
              <w:widowControl/>
              <w:jc w:val="center"/>
              <w:rPr>
                <w:rFonts w:ascii="宋体" w:hAnsi="宋体" w:cs="宋体"/>
                <w:color w:val="auto"/>
                <w:kern w:val="0"/>
                <w:sz w:val="20"/>
                <w:szCs w:val="20"/>
              </w:rPr>
            </w:pPr>
            <w:r>
              <w:rPr>
                <w:rFonts w:hint="eastAsia" w:ascii="宋体" w:hAnsi="宋体" w:cs="宋体"/>
                <w:color w:val="auto"/>
                <w:kern w:val="0"/>
                <w:sz w:val="20"/>
                <w:szCs w:val="20"/>
              </w:rPr>
              <w:t>当年预算执行情况（20）</w:t>
            </w:r>
          </w:p>
        </w:tc>
        <w:tc>
          <w:tcPr>
            <w:tcW w:w="453" w:type="pct"/>
            <w:vAlign w:val="center"/>
          </w:tcPr>
          <w:p w14:paraId="28E21573">
            <w:pPr>
              <w:widowControl/>
              <w:jc w:val="center"/>
              <w:rPr>
                <w:rFonts w:ascii="宋体" w:hAnsi="宋体" w:cs="宋体"/>
                <w:color w:val="auto"/>
                <w:kern w:val="0"/>
                <w:sz w:val="20"/>
                <w:szCs w:val="20"/>
              </w:rPr>
            </w:pPr>
            <w:r>
              <w:rPr>
                <w:rFonts w:hint="eastAsia" w:ascii="宋体" w:hAnsi="宋体" w:cs="宋体"/>
                <w:color w:val="auto"/>
                <w:kern w:val="0"/>
                <w:sz w:val="20"/>
                <w:szCs w:val="20"/>
              </w:rPr>
              <w:t>资金</w:t>
            </w:r>
          </w:p>
          <w:p w14:paraId="2F4BEB74">
            <w:pPr>
              <w:widowControl/>
              <w:jc w:val="center"/>
              <w:rPr>
                <w:rFonts w:ascii="宋体" w:hAnsi="宋体" w:cs="宋体"/>
                <w:color w:val="auto"/>
                <w:kern w:val="0"/>
                <w:sz w:val="20"/>
                <w:szCs w:val="20"/>
              </w:rPr>
            </w:pPr>
            <w:r>
              <w:rPr>
                <w:rFonts w:hint="eastAsia" w:ascii="宋体" w:hAnsi="宋体" w:cs="宋体"/>
                <w:color w:val="auto"/>
                <w:kern w:val="0"/>
                <w:sz w:val="20"/>
                <w:szCs w:val="20"/>
              </w:rPr>
              <w:t>总体</w:t>
            </w:r>
          </w:p>
        </w:tc>
        <w:tc>
          <w:tcPr>
            <w:tcW w:w="621" w:type="pct"/>
            <w:vAlign w:val="center"/>
          </w:tcPr>
          <w:p w14:paraId="45659FDE">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55,489.45</w:t>
            </w:r>
          </w:p>
        </w:tc>
        <w:tc>
          <w:tcPr>
            <w:tcW w:w="1098" w:type="pct"/>
            <w:vAlign w:val="center"/>
          </w:tcPr>
          <w:p w14:paraId="66C42C9F">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51,559.43</w:t>
            </w:r>
          </w:p>
        </w:tc>
        <w:tc>
          <w:tcPr>
            <w:tcW w:w="1654" w:type="pct"/>
            <w:vAlign w:val="center"/>
          </w:tcPr>
          <w:p w14:paraId="44589A1B">
            <w:pPr>
              <w:widowControl/>
              <w:jc w:val="center"/>
              <w:rPr>
                <w:rFonts w:ascii="宋体" w:hAnsi="宋体" w:cs="宋体"/>
                <w:color w:val="auto"/>
                <w:kern w:val="0"/>
                <w:sz w:val="20"/>
                <w:szCs w:val="20"/>
              </w:rPr>
            </w:pPr>
            <w:r>
              <w:rPr>
                <w:rFonts w:hint="eastAsia" w:ascii="宋体" w:hAnsi="宋体" w:cs="宋体"/>
                <w:color w:val="auto"/>
                <w:kern w:val="0"/>
                <w:sz w:val="20"/>
                <w:szCs w:val="20"/>
              </w:rPr>
              <w:t>92.92%</w:t>
            </w:r>
          </w:p>
        </w:tc>
        <w:tc>
          <w:tcPr>
            <w:tcW w:w="415" w:type="pct"/>
            <w:vMerge w:val="restart"/>
            <w:noWrap/>
            <w:vAlign w:val="center"/>
          </w:tcPr>
          <w:p w14:paraId="5253B828">
            <w:pPr>
              <w:widowControl/>
              <w:jc w:val="center"/>
              <w:rPr>
                <w:rFonts w:ascii="宋体" w:hAnsi="宋体" w:cs="宋体"/>
                <w:color w:val="auto"/>
                <w:kern w:val="0"/>
                <w:sz w:val="20"/>
                <w:szCs w:val="20"/>
              </w:rPr>
            </w:pPr>
            <w:r>
              <w:rPr>
                <w:rFonts w:hint="eastAsia" w:ascii="宋体" w:hAnsi="宋体" w:cs="宋体"/>
                <w:color w:val="auto"/>
                <w:kern w:val="0"/>
                <w:sz w:val="20"/>
                <w:szCs w:val="20"/>
              </w:rPr>
              <w:t>20</w:t>
            </w:r>
          </w:p>
        </w:tc>
        <w:tc>
          <w:tcPr>
            <w:tcW w:w="442" w:type="pct"/>
            <w:vMerge w:val="restart"/>
            <w:noWrap/>
            <w:vAlign w:val="center"/>
          </w:tcPr>
          <w:p w14:paraId="38716721">
            <w:pPr>
              <w:widowControl/>
              <w:jc w:val="center"/>
              <w:rPr>
                <w:rFonts w:ascii="宋体" w:hAnsi="宋体" w:cs="宋体"/>
                <w:color w:val="auto"/>
                <w:kern w:val="0"/>
                <w:sz w:val="20"/>
                <w:szCs w:val="20"/>
              </w:rPr>
            </w:pPr>
            <w:r>
              <w:rPr>
                <w:rFonts w:hint="eastAsia" w:ascii="宋体" w:hAnsi="宋体" w:cs="宋体"/>
                <w:color w:val="auto"/>
                <w:kern w:val="0"/>
                <w:sz w:val="20"/>
                <w:szCs w:val="20"/>
              </w:rPr>
              <w:t>18.58</w:t>
            </w:r>
          </w:p>
        </w:tc>
      </w:tr>
      <w:tr w14:paraId="13FED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313" w:type="pct"/>
            <w:vMerge w:val="continue"/>
            <w:vAlign w:val="center"/>
          </w:tcPr>
          <w:p w14:paraId="7AF0B19E">
            <w:pPr>
              <w:widowControl/>
              <w:jc w:val="left"/>
              <w:rPr>
                <w:rFonts w:ascii="宋体" w:hAnsi="宋体" w:cs="宋体"/>
                <w:color w:val="auto"/>
                <w:kern w:val="0"/>
                <w:sz w:val="20"/>
                <w:szCs w:val="20"/>
              </w:rPr>
            </w:pPr>
          </w:p>
        </w:tc>
        <w:tc>
          <w:tcPr>
            <w:tcW w:w="453" w:type="pct"/>
            <w:vAlign w:val="center"/>
          </w:tcPr>
          <w:p w14:paraId="5A735CD1">
            <w:pPr>
              <w:widowControl/>
              <w:jc w:val="center"/>
              <w:rPr>
                <w:rFonts w:ascii="宋体" w:hAnsi="宋体" w:cs="宋体"/>
                <w:color w:val="auto"/>
                <w:kern w:val="0"/>
                <w:sz w:val="20"/>
                <w:szCs w:val="20"/>
              </w:rPr>
            </w:pPr>
            <w:r>
              <w:rPr>
                <w:rFonts w:hint="eastAsia" w:ascii="宋体" w:hAnsi="宋体" w:cs="宋体"/>
                <w:color w:val="auto"/>
                <w:kern w:val="0"/>
                <w:sz w:val="20"/>
                <w:szCs w:val="20"/>
              </w:rPr>
              <w:t>基本</w:t>
            </w:r>
          </w:p>
          <w:p w14:paraId="341439C7">
            <w:pPr>
              <w:widowControl/>
              <w:jc w:val="center"/>
              <w:rPr>
                <w:rFonts w:ascii="宋体" w:hAnsi="宋体" w:cs="宋体"/>
                <w:color w:val="auto"/>
                <w:kern w:val="0"/>
                <w:sz w:val="20"/>
                <w:szCs w:val="20"/>
              </w:rPr>
            </w:pPr>
            <w:r>
              <w:rPr>
                <w:rFonts w:hint="eastAsia" w:ascii="宋体" w:hAnsi="宋体" w:cs="宋体"/>
                <w:color w:val="auto"/>
                <w:kern w:val="0"/>
                <w:sz w:val="20"/>
                <w:szCs w:val="20"/>
              </w:rPr>
              <w:t>支出</w:t>
            </w:r>
          </w:p>
        </w:tc>
        <w:tc>
          <w:tcPr>
            <w:tcW w:w="621" w:type="pct"/>
            <w:vAlign w:val="center"/>
          </w:tcPr>
          <w:p w14:paraId="1664E9D7">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10,520.53</w:t>
            </w:r>
          </w:p>
        </w:tc>
        <w:tc>
          <w:tcPr>
            <w:tcW w:w="1098" w:type="pct"/>
            <w:vAlign w:val="center"/>
          </w:tcPr>
          <w:p w14:paraId="0E9F9B24">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9,544.20</w:t>
            </w:r>
          </w:p>
        </w:tc>
        <w:tc>
          <w:tcPr>
            <w:tcW w:w="1654" w:type="pct"/>
            <w:vMerge w:val="restart"/>
            <w:vAlign w:val="center"/>
          </w:tcPr>
          <w:p w14:paraId="3D8A799B">
            <w:pPr>
              <w:widowControl/>
              <w:jc w:val="center"/>
              <w:rPr>
                <w:rFonts w:ascii="宋体" w:hAnsi="宋体" w:cs="宋体"/>
                <w:color w:val="auto"/>
                <w:kern w:val="0"/>
                <w:sz w:val="20"/>
                <w:szCs w:val="20"/>
              </w:rPr>
            </w:pPr>
            <w:r>
              <w:rPr>
                <w:rFonts w:hint="eastAsia" w:ascii="宋体" w:hAnsi="宋体" w:cs="宋体"/>
                <w:color w:val="auto"/>
                <w:kern w:val="0"/>
                <w:sz w:val="20"/>
                <w:szCs w:val="20"/>
              </w:rPr>
              <w:t>--</w:t>
            </w:r>
          </w:p>
        </w:tc>
        <w:tc>
          <w:tcPr>
            <w:tcW w:w="415" w:type="pct"/>
            <w:vMerge w:val="continue"/>
            <w:vAlign w:val="center"/>
          </w:tcPr>
          <w:p w14:paraId="5D45F1AA">
            <w:pPr>
              <w:widowControl/>
              <w:jc w:val="left"/>
              <w:rPr>
                <w:rFonts w:ascii="宋体" w:hAnsi="宋体" w:cs="宋体"/>
                <w:color w:val="auto"/>
                <w:kern w:val="0"/>
                <w:sz w:val="20"/>
                <w:szCs w:val="20"/>
              </w:rPr>
            </w:pPr>
          </w:p>
        </w:tc>
        <w:tc>
          <w:tcPr>
            <w:tcW w:w="442" w:type="pct"/>
            <w:vMerge w:val="continue"/>
            <w:vAlign w:val="center"/>
          </w:tcPr>
          <w:p w14:paraId="73906FF9">
            <w:pPr>
              <w:widowControl/>
              <w:jc w:val="left"/>
              <w:rPr>
                <w:rFonts w:ascii="宋体" w:hAnsi="宋体" w:cs="宋体"/>
                <w:color w:val="auto"/>
                <w:kern w:val="0"/>
                <w:sz w:val="20"/>
                <w:szCs w:val="20"/>
              </w:rPr>
            </w:pPr>
          </w:p>
        </w:tc>
      </w:tr>
      <w:tr w14:paraId="09E6C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13" w:type="pct"/>
            <w:vMerge w:val="continue"/>
            <w:vAlign w:val="center"/>
          </w:tcPr>
          <w:p w14:paraId="604238A8">
            <w:pPr>
              <w:widowControl/>
              <w:jc w:val="left"/>
              <w:rPr>
                <w:rFonts w:ascii="宋体" w:hAnsi="宋体" w:cs="宋体"/>
                <w:color w:val="auto"/>
                <w:kern w:val="0"/>
                <w:sz w:val="20"/>
                <w:szCs w:val="20"/>
              </w:rPr>
            </w:pPr>
          </w:p>
        </w:tc>
        <w:tc>
          <w:tcPr>
            <w:tcW w:w="453" w:type="pct"/>
            <w:vAlign w:val="center"/>
          </w:tcPr>
          <w:p w14:paraId="0ABBADD0">
            <w:pPr>
              <w:widowControl/>
              <w:jc w:val="center"/>
              <w:rPr>
                <w:rFonts w:ascii="宋体" w:hAnsi="宋体" w:cs="宋体"/>
                <w:color w:val="auto"/>
                <w:kern w:val="0"/>
                <w:sz w:val="20"/>
                <w:szCs w:val="20"/>
              </w:rPr>
            </w:pPr>
            <w:r>
              <w:rPr>
                <w:rFonts w:hint="eastAsia" w:ascii="宋体" w:hAnsi="宋体" w:cs="宋体"/>
                <w:color w:val="auto"/>
                <w:kern w:val="0"/>
                <w:sz w:val="20"/>
                <w:szCs w:val="20"/>
              </w:rPr>
              <w:t>项目</w:t>
            </w:r>
          </w:p>
          <w:p w14:paraId="6364E1B1">
            <w:pPr>
              <w:widowControl/>
              <w:jc w:val="center"/>
              <w:rPr>
                <w:rFonts w:ascii="宋体" w:hAnsi="宋体" w:cs="宋体"/>
                <w:color w:val="auto"/>
                <w:kern w:val="0"/>
                <w:sz w:val="20"/>
                <w:szCs w:val="20"/>
              </w:rPr>
            </w:pPr>
            <w:r>
              <w:rPr>
                <w:rFonts w:hint="eastAsia" w:ascii="宋体" w:hAnsi="宋体" w:cs="宋体"/>
                <w:color w:val="auto"/>
                <w:kern w:val="0"/>
                <w:sz w:val="20"/>
                <w:szCs w:val="20"/>
              </w:rPr>
              <w:t>支出</w:t>
            </w:r>
          </w:p>
        </w:tc>
        <w:tc>
          <w:tcPr>
            <w:tcW w:w="621" w:type="pct"/>
            <w:vAlign w:val="center"/>
          </w:tcPr>
          <w:p w14:paraId="03774CBE">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44,968.92</w:t>
            </w:r>
          </w:p>
        </w:tc>
        <w:tc>
          <w:tcPr>
            <w:tcW w:w="1098" w:type="pct"/>
            <w:vAlign w:val="center"/>
          </w:tcPr>
          <w:p w14:paraId="2BF6443A">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42,015.23</w:t>
            </w:r>
          </w:p>
        </w:tc>
        <w:tc>
          <w:tcPr>
            <w:tcW w:w="1654" w:type="pct"/>
            <w:vMerge w:val="continue"/>
            <w:vAlign w:val="center"/>
          </w:tcPr>
          <w:p w14:paraId="5087DFA9">
            <w:pPr>
              <w:widowControl/>
              <w:jc w:val="left"/>
              <w:rPr>
                <w:rFonts w:ascii="宋体" w:hAnsi="宋体" w:cs="宋体"/>
                <w:color w:val="auto"/>
                <w:kern w:val="0"/>
                <w:sz w:val="20"/>
                <w:szCs w:val="20"/>
              </w:rPr>
            </w:pPr>
          </w:p>
        </w:tc>
        <w:tc>
          <w:tcPr>
            <w:tcW w:w="415" w:type="pct"/>
            <w:vMerge w:val="continue"/>
            <w:vAlign w:val="center"/>
          </w:tcPr>
          <w:p w14:paraId="44A693A4">
            <w:pPr>
              <w:widowControl/>
              <w:jc w:val="left"/>
              <w:rPr>
                <w:rFonts w:ascii="宋体" w:hAnsi="宋体" w:cs="宋体"/>
                <w:color w:val="auto"/>
                <w:kern w:val="0"/>
                <w:sz w:val="20"/>
                <w:szCs w:val="20"/>
              </w:rPr>
            </w:pPr>
          </w:p>
        </w:tc>
        <w:tc>
          <w:tcPr>
            <w:tcW w:w="442" w:type="pct"/>
            <w:vMerge w:val="continue"/>
            <w:vAlign w:val="center"/>
          </w:tcPr>
          <w:p w14:paraId="549AF145">
            <w:pPr>
              <w:widowControl/>
              <w:jc w:val="left"/>
              <w:rPr>
                <w:rFonts w:ascii="宋体" w:hAnsi="宋体" w:cs="宋体"/>
                <w:color w:val="auto"/>
                <w:kern w:val="0"/>
                <w:sz w:val="20"/>
                <w:szCs w:val="20"/>
              </w:rPr>
            </w:pPr>
          </w:p>
        </w:tc>
      </w:tr>
      <w:tr w14:paraId="1F3EB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313" w:type="pct"/>
            <w:vMerge w:val="continue"/>
            <w:tcBorders>
              <w:bottom w:val="single" w:color="auto" w:sz="4" w:space="0"/>
            </w:tcBorders>
            <w:vAlign w:val="center"/>
          </w:tcPr>
          <w:p w14:paraId="6BE082C0">
            <w:pPr>
              <w:widowControl/>
              <w:jc w:val="left"/>
              <w:rPr>
                <w:rFonts w:ascii="宋体" w:hAnsi="宋体" w:cs="宋体"/>
                <w:color w:val="auto"/>
                <w:kern w:val="0"/>
                <w:sz w:val="20"/>
                <w:szCs w:val="20"/>
              </w:rPr>
            </w:pPr>
          </w:p>
        </w:tc>
        <w:tc>
          <w:tcPr>
            <w:tcW w:w="453" w:type="pct"/>
            <w:tcBorders>
              <w:bottom w:val="single" w:color="auto" w:sz="4" w:space="0"/>
            </w:tcBorders>
            <w:vAlign w:val="center"/>
          </w:tcPr>
          <w:p w14:paraId="4F7378E7">
            <w:pPr>
              <w:widowControl/>
              <w:jc w:val="center"/>
              <w:rPr>
                <w:rFonts w:ascii="宋体" w:hAnsi="宋体" w:cs="宋体"/>
                <w:color w:val="auto"/>
                <w:kern w:val="0"/>
                <w:sz w:val="20"/>
                <w:szCs w:val="20"/>
              </w:rPr>
            </w:pPr>
            <w:r>
              <w:rPr>
                <w:rFonts w:hint="eastAsia" w:ascii="宋体" w:hAnsi="宋体" w:cs="宋体"/>
                <w:color w:val="auto"/>
                <w:kern w:val="0"/>
                <w:sz w:val="20"/>
                <w:szCs w:val="20"/>
              </w:rPr>
              <w:t>其他</w:t>
            </w:r>
          </w:p>
        </w:tc>
        <w:tc>
          <w:tcPr>
            <w:tcW w:w="621" w:type="pct"/>
            <w:tcBorders>
              <w:bottom w:val="single" w:color="auto" w:sz="4" w:space="0"/>
            </w:tcBorders>
            <w:vAlign w:val="center"/>
          </w:tcPr>
          <w:p w14:paraId="1F865957">
            <w:pPr>
              <w:widowControl/>
              <w:jc w:val="center"/>
              <w:rPr>
                <w:rFonts w:ascii="宋体" w:hAnsi="宋体" w:cs="宋体"/>
                <w:color w:val="auto"/>
                <w:kern w:val="0"/>
                <w:sz w:val="20"/>
                <w:szCs w:val="20"/>
              </w:rPr>
            </w:pPr>
            <w:r>
              <w:rPr>
                <w:rFonts w:hint="eastAsia" w:ascii="宋体" w:hAnsi="宋体" w:cs="宋体"/>
                <w:color w:val="auto"/>
                <w:kern w:val="0"/>
                <w:sz w:val="20"/>
                <w:szCs w:val="20"/>
              </w:rPr>
              <w:t>　-</w:t>
            </w:r>
          </w:p>
        </w:tc>
        <w:tc>
          <w:tcPr>
            <w:tcW w:w="1098" w:type="pct"/>
            <w:tcBorders>
              <w:bottom w:val="single" w:color="auto" w:sz="4" w:space="0"/>
            </w:tcBorders>
            <w:vAlign w:val="center"/>
          </w:tcPr>
          <w:p w14:paraId="5AB3C349">
            <w:pPr>
              <w:widowControl/>
              <w:jc w:val="center"/>
              <w:rPr>
                <w:rFonts w:ascii="宋体" w:hAnsi="宋体" w:cs="宋体"/>
                <w:color w:val="auto"/>
                <w:kern w:val="0"/>
                <w:sz w:val="20"/>
                <w:szCs w:val="20"/>
              </w:rPr>
            </w:pPr>
            <w:r>
              <w:rPr>
                <w:rFonts w:hint="eastAsia" w:ascii="宋体" w:hAnsi="宋体" w:cs="宋体"/>
                <w:color w:val="auto"/>
                <w:kern w:val="0"/>
                <w:sz w:val="20"/>
                <w:szCs w:val="20"/>
              </w:rPr>
              <w:t>-　</w:t>
            </w:r>
          </w:p>
        </w:tc>
        <w:tc>
          <w:tcPr>
            <w:tcW w:w="1654" w:type="pct"/>
            <w:vMerge w:val="continue"/>
            <w:tcBorders>
              <w:bottom w:val="single" w:color="auto" w:sz="4" w:space="0"/>
            </w:tcBorders>
            <w:vAlign w:val="center"/>
          </w:tcPr>
          <w:p w14:paraId="263E14C3">
            <w:pPr>
              <w:widowControl/>
              <w:jc w:val="left"/>
              <w:rPr>
                <w:rFonts w:ascii="宋体" w:hAnsi="宋体" w:cs="宋体"/>
                <w:color w:val="auto"/>
                <w:kern w:val="0"/>
                <w:sz w:val="20"/>
                <w:szCs w:val="20"/>
              </w:rPr>
            </w:pPr>
          </w:p>
        </w:tc>
        <w:tc>
          <w:tcPr>
            <w:tcW w:w="415" w:type="pct"/>
            <w:vMerge w:val="continue"/>
            <w:tcBorders>
              <w:bottom w:val="single" w:color="auto" w:sz="4" w:space="0"/>
            </w:tcBorders>
            <w:vAlign w:val="center"/>
          </w:tcPr>
          <w:p w14:paraId="2FD79099">
            <w:pPr>
              <w:widowControl/>
              <w:jc w:val="left"/>
              <w:rPr>
                <w:rFonts w:ascii="宋体" w:hAnsi="宋体" w:cs="宋体"/>
                <w:color w:val="auto"/>
                <w:kern w:val="0"/>
                <w:sz w:val="20"/>
                <w:szCs w:val="20"/>
              </w:rPr>
            </w:pPr>
          </w:p>
        </w:tc>
        <w:tc>
          <w:tcPr>
            <w:tcW w:w="442" w:type="pct"/>
            <w:vMerge w:val="continue"/>
            <w:tcBorders>
              <w:bottom w:val="single" w:color="auto" w:sz="4" w:space="0"/>
            </w:tcBorders>
            <w:vAlign w:val="center"/>
          </w:tcPr>
          <w:p w14:paraId="72154D71">
            <w:pPr>
              <w:widowControl/>
              <w:jc w:val="left"/>
              <w:rPr>
                <w:rFonts w:ascii="宋体" w:hAnsi="宋体" w:cs="宋体"/>
                <w:color w:val="auto"/>
                <w:kern w:val="0"/>
                <w:sz w:val="20"/>
                <w:szCs w:val="20"/>
              </w:rPr>
            </w:pPr>
          </w:p>
        </w:tc>
      </w:tr>
      <w:tr w14:paraId="798AC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jc w:val="center"/>
        </w:trPr>
        <w:tc>
          <w:tcPr>
            <w:tcW w:w="5000" w:type="pct"/>
            <w:gridSpan w:val="7"/>
            <w:tcBorders>
              <w:top w:val="single" w:color="auto" w:sz="4" w:space="0"/>
              <w:left w:val="single" w:color="auto" w:sz="4" w:space="0"/>
              <w:bottom w:val="single" w:color="auto" w:sz="4" w:space="0"/>
              <w:right w:val="single" w:color="auto" w:sz="4" w:space="0"/>
            </w:tcBorders>
            <w:vAlign w:val="center"/>
          </w:tcPr>
          <w:p w14:paraId="367D8BF4">
            <w:pPr>
              <w:widowControl/>
              <w:jc w:val="both"/>
              <w:rPr>
                <w:rFonts w:hint="eastAsia" w:ascii="宋体" w:hAnsi="宋体" w:cs="宋体"/>
                <w:color w:val="auto"/>
                <w:kern w:val="0"/>
                <w:sz w:val="20"/>
                <w:szCs w:val="20"/>
              </w:rPr>
            </w:pPr>
            <w:r>
              <w:rPr>
                <w:rFonts w:hint="eastAsia" w:ascii="宋体" w:hAnsi="宋体" w:cs="宋体"/>
                <w:color w:val="auto"/>
                <w:kern w:val="0"/>
                <w:sz w:val="20"/>
                <w:szCs w:val="20"/>
              </w:rPr>
              <w:t>二</w:t>
            </w:r>
            <w:r>
              <w:rPr>
                <w:rFonts w:ascii="宋体" w:hAnsi="宋体" w:cs="宋体"/>
                <w:color w:val="auto"/>
                <w:kern w:val="0"/>
                <w:sz w:val="20"/>
                <w:szCs w:val="20"/>
              </w:rPr>
              <w:t>、</w:t>
            </w:r>
            <w:r>
              <w:rPr>
                <w:rFonts w:hint="eastAsia" w:ascii="宋体" w:hAnsi="宋体" w:cs="宋体"/>
                <w:color w:val="auto"/>
                <w:kern w:val="0"/>
                <w:sz w:val="20"/>
                <w:szCs w:val="20"/>
              </w:rPr>
              <w:t>整体绩效目标实现情况（60分）</w:t>
            </w:r>
          </w:p>
        </w:tc>
      </w:tr>
      <w:tr w14:paraId="0D39C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13" w:type="pct"/>
            <w:tcBorders>
              <w:top w:val="single" w:color="auto" w:sz="4" w:space="0"/>
              <w:left w:val="single" w:color="auto" w:sz="4" w:space="0"/>
              <w:bottom w:val="single" w:color="auto" w:sz="4" w:space="0"/>
              <w:right w:val="single" w:color="auto" w:sz="4" w:space="0"/>
            </w:tcBorders>
            <w:vAlign w:val="center"/>
          </w:tcPr>
          <w:p w14:paraId="2DD2D300">
            <w:pPr>
              <w:widowControl/>
              <w:jc w:val="center"/>
              <w:rPr>
                <w:rFonts w:ascii="宋体" w:hAnsi="宋体" w:cs="宋体"/>
                <w:color w:val="auto"/>
                <w:kern w:val="0"/>
                <w:sz w:val="20"/>
                <w:szCs w:val="20"/>
              </w:rPr>
            </w:pPr>
            <w:r>
              <w:rPr>
                <w:rFonts w:hint="eastAsia" w:ascii="宋体" w:hAnsi="宋体" w:cs="宋体"/>
                <w:color w:val="auto"/>
                <w:kern w:val="0"/>
                <w:sz w:val="20"/>
                <w:szCs w:val="20"/>
              </w:rPr>
              <w:t>一</w:t>
            </w:r>
            <w:r>
              <w:rPr>
                <w:rFonts w:ascii="宋体" w:hAnsi="宋体" w:cs="宋体"/>
                <w:color w:val="auto"/>
                <w:kern w:val="0"/>
                <w:sz w:val="20"/>
                <w:szCs w:val="20"/>
              </w:rPr>
              <w:t>级</w:t>
            </w:r>
          </w:p>
          <w:p w14:paraId="209852F3">
            <w:pPr>
              <w:widowControl/>
              <w:jc w:val="center"/>
              <w:rPr>
                <w:rFonts w:ascii="宋体" w:hAnsi="宋体" w:cs="宋体"/>
                <w:color w:val="auto"/>
                <w:kern w:val="0"/>
                <w:sz w:val="20"/>
                <w:szCs w:val="20"/>
              </w:rPr>
            </w:pPr>
            <w:r>
              <w:rPr>
                <w:rFonts w:ascii="宋体" w:hAnsi="宋体" w:cs="宋体"/>
                <w:color w:val="auto"/>
                <w:kern w:val="0"/>
                <w:sz w:val="20"/>
                <w:szCs w:val="20"/>
              </w:rPr>
              <w:t>指标</w:t>
            </w:r>
          </w:p>
        </w:tc>
        <w:tc>
          <w:tcPr>
            <w:tcW w:w="453" w:type="pct"/>
            <w:tcBorders>
              <w:top w:val="single" w:color="auto" w:sz="4" w:space="0"/>
              <w:left w:val="single" w:color="auto" w:sz="4" w:space="0"/>
              <w:bottom w:val="single" w:color="auto" w:sz="4" w:space="0"/>
              <w:right w:val="single" w:color="auto" w:sz="4" w:space="0"/>
            </w:tcBorders>
            <w:vAlign w:val="center"/>
          </w:tcPr>
          <w:p w14:paraId="7C74C2E3">
            <w:pPr>
              <w:widowControl/>
              <w:jc w:val="center"/>
              <w:rPr>
                <w:rFonts w:ascii="宋体" w:hAnsi="宋体" w:cs="宋体"/>
                <w:color w:val="auto"/>
                <w:kern w:val="0"/>
                <w:sz w:val="20"/>
                <w:szCs w:val="20"/>
              </w:rPr>
            </w:pPr>
            <w:r>
              <w:rPr>
                <w:rFonts w:hint="eastAsia" w:ascii="宋体" w:hAnsi="宋体" w:cs="宋体"/>
                <w:color w:val="auto"/>
                <w:kern w:val="0"/>
                <w:sz w:val="20"/>
                <w:szCs w:val="20"/>
              </w:rPr>
              <w:t>二</w:t>
            </w:r>
            <w:r>
              <w:rPr>
                <w:rFonts w:ascii="宋体" w:hAnsi="宋体" w:cs="宋体"/>
                <w:color w:val="auto"/>
                <w:kern w:val="0"/>
                <w:sz w:val="20"/>
                <w:szCs w:val="20"/>
              </w:rPr>
              <w:t>级</w:t>
            </w:r>
          </w:p>
          <w:p w14:paraId="5308CF6E">
            <w:pPr>
              <w:widowControl/>
              <w:jc w:val="center"/>
              <w:rPr>
                <w:rFonts w:ascii="宋体" w:hAnsi="宋体" w:cs="宋体"/>
                <w:color w:val="auto"/>
                <w:kern w:val="0"/>
                <w:sz w:val="20"/>
                <w:szCs w:val="20"/>
              </w:rPr>
            </w:pPr>
            <w:r>
              <w:rPr>
                <w:rFonts w:ascii="宋体" w:hAnsi="宋体" w:cs="宋体"/>
                <w:color w:val="auto"/>
                <w:kern w:val="0"/>
                <w:sz w:val="20"/>
                <w:szCs w:val="20"/>
              </w:rPr>
              <w:t>指标</w:t>
            </w:r>
            <w:r>
              <w:rPr>
                <w:rFonts w:hint="eastAsia" w:ascii="宋体" w:hAnsi="宋体" w:cs="宋体"/>
                <w:color w:val="auto"/>
                <w:kern w:val="0"/>
                <w:sz w:val="20"/>
                <w:szCs w:val="20"/>
              </w:rPr>
              <w:t>　</w:t>
            </w:r>
          </w:p>
        </w:tc>
        <w:tc>
          <w:tcPr>
            <w:tcW w:w="621" w:type="pct"/>
            <w:tcBorders>
              <w:top w:val="single" w:color="auto" w:sz="4" w:space="0"/>
              <w:left w:val="single" w:color="auto" w:sz="4" w:space="0"/>
              <w:bottom w:val="single" w:color="auto" w:sz="4" w:space="0"/>
              <w:right w:val="single" w:color="auto" w:sz="4" w:space="0"/>
            </w:tcBorders>
            <w:vAlign w:val="center"/>
          </w:tcPr>
          <w:p w14:paraId="416CDB68">
            <w:pPr>
              <w:widowControl/>
              <w:jc w:val="center"/>
              <w:rPr>
                <w:rFonts w:ascii="宋体" w:hAnsi="宋体" w:cs="宋体"/>
                <w:color w:val="auto"/>
                <w:kern w:val="0"/>
                <w:sz w:val="20"/>
                <w:szCs w:val="20"/>
              </w:rPr>
            </w:pPr>
            <w:r>
              <w:rPr>
                <w:rFonts w:hint="eastAsia" w:ascii="宋体" w:hAnsi="宋体" w:cs="宋体"/>
                <w:color w:val="auto"/>
                <w:kern w:val="0"/>
                <w:sz w:val="20"/>
                <w:szCs w:val="20"/>
              </w:rPr>
              <w:t>三</w:t>
            </w:r>
            <w:r>
              <w:rPr>
                <w:rFonts w:ascii="宋体" w:hAnsi="宋体" w:cs="宋体"/>
                <w:color w:val="auto"/>
                <w:kern w:val="0"/>
                <w:sz w:val="20"/>
                <w:szCs w:val="20"/>
              </w:rPr>
              <w:t>级指标</w:t>
            </w:r>
            <w:r>
              <w:rPr>
                <w:rFonts w:hint="eastAsia" w:ascii="宋体" w:hAnsi="宋体" w:cs="宋体"/>
                <w:color w:val="auto"/>
                <w:kern w:val="0"/>
                <w:sz w:val="20"/>
                <w:szCs w:val="20"/>
              </w:rPr>
              <w:t>　</w:t>
            </w:r>
          </w:p>
        </w:tc>
        <w:tc>
          <w:tcPr>
            <w:tcW w:w="1098" w:type="pct"/>
            <w:tcBorders>
              <w:top w:val="single" w:color="auto" w:sz="4" w:space="0"/>
              <w:left w:val="single" w:color="auto" w:sz="4" w:space="0"/>
              <w:bottom w:val="single" w:color="auto" w:sz="4" w:space="0"/>
              <w:right w:val="single" w:color="auto" w:sz="4" w:space="0"/>
            </w:tcBorders>
            <w:vAlign w:val="center"/>
          </w:tcPr>
          <w:p w14:paraId="7EBC2615">
            <w:pPr>
              <w:widowControl/>
              <w:jc w:val="center"/>
              <w:rPr>
                <w:rFonts w:ascii="宋体" w:hAnsi="宋体" w:cs="宋体"/>
                <w:color w:val="auto"/>
                <w:kern w:val="0"/>
                <w:sz w:val="20"/>
                <w:szCs w:val="20"/>
              </w:rPr>
            </w:pPr>
            <w:r>
              <w:rPr>
                <w:rFonts w:hint="eastAsia" w:ascii="宋体" w:hAnsi="宋体" w:cs="宋体"/>
                <w:color w:val="auto"/>
                <w:kern w:val="0"/>
                <w:sz w:val="20"/>
                <w:szCs w:val="20"/>
              </w:rPr>
              <w:t>指标值</w:t>
            </w:r>
          </w:p>
        </w:tc>
        <w:tc>
          <w:tcPr>
            <w:tcW w:w="1654" w:type="pct"/>
            <w:tcBorders>
              <w:top w:val="single" w:color="auto" w:sz="4" w:space="0"/>
              <w:left w:val="single" w:color="auto" w:sz="4" w:space="0"/>
              <w:bottom w:val="single" w:color="auto" w:sz="4" w:space="0"/>
              <w:right w:val="single" w:color="auto" w:sz="4" w:space="0"/>
            </w:tcBorders>
            <w:vAlign w:val="center"/>
          </w:tcPr>
          <w:p w14:paraId="3FDA0039">
            <w:pPr>
              <w:widowControl/>
              <w:jc w:val="center"/>
              <w:rPr>
                <w:rFonts w:ascii="宋体" w:hAnsi="宋体" w:cs="宋体"/>
                <w:color w:val="auto"/>
                <w:kern w:val="0"/>
                <w:sz w:val="20"/>
                <w:szCs w:val="20"/>
              </w:rPr>
            </w:pPr>
            <w:r>
              <w:rPr>
                <w:rFonts w:hint="eastAsia" w:ascii="宋体" w:hAnsi="宋体" w:cs="宋体"/>
                <w:color w:val="auto"/>
                <w:kern w:val="0"/>
                <w:sz w:val="20"/>
                <w:szCs w:val="20"/>
              </w:rPr>
              <w:t>完成值</w:t>
            </w:r>
          </w:p>
        </w:tc>
        <w:tc>
          <w:tcPr>
            <w:tcW w:w="415" w:type="pct"/>
            <w:tcBorders>
              <w:top w:val="single" w:color="auto" w:sz="4" w:space="0"/>
              <w:left w:val="single" w:color="auto" w:sz="4" w:space="0"/>
              <w:bottom w:val="single" w:color="auto" w:sz="4" w:space="0"/>
              <w:right w:val="single" w:color="auto" w:sz="4" w:space="0"/>
            </w:tcBorders>
            <w:vAlign w:val="center"/>
          </w:tcPr>
          <w:p w14:paraId="44125C41">
            <w:pPr>
              <w:widowControl/>
              <w:jc w:val="center"/>
              <w:rPr>
                <w:rFonts w:ascii="宋体" w:hAnsi="宋体" w:cs="宋体"/>
                <w:color w:val="auto"/>
                <w:kern w:val="0"/>
                <w:sz w:val="20"/>
                <w:szCs w:val="20"/>
              </w:rPr>
            </w:pPr>
            <w:r>
              <w:rPr>
                <w:rFonts w:hint="eastAsia" w:ascii="宋体" w:hAnsi="宋体" w:cs="宋体"/>
                <w:color w:val="auto"/>
                <w:kern w:val="0"/>
                <w:sz w:val="20"/>
                <w:szCs w:val="20"/>
              </w:rPr>
              <w:t>分值</w:t>
            </w:r>
          </w:p>
        </w:tc>
        <w:tc>
          <w:tcPr>
            <w:tcW w:w="442" w:type="pct"/>
            <w:tcBorders>
              <w:top w:val="single" w:color="auto" w:sz="4" w:space="0"/>
              <w:left w:val="single" w:color="auto" w:sz="4" w:space="0"/>
              <w:bottom w:val="single" w:color="auto" w:sz="4" w:space="0"/>
              <w:right w:val="single" w:color="auto" w:sz="4" w:space="0"/>
            </w:tcBorders>
            <w:vAlign w:val="center"/>
          </w:tcPr>
          <w:p w14:paraId="7A93630A">
            <w:pPr>
              <w:widowControl/>
              <w:jc w:val="center"/>
              <w:rPr>
                <w:rFonts w:ascii="宋体" w:hAnsi="宋体" w:cs="宋体"/>
                <w:color w:val="auto"/>
                <w:kern w:val="0"/>
                <w:sz w:val="20"/>
                <w:szCs w:val="20"/>
              </w:rPr>
            </w:pPr>
            <w:r>
              <w:rPr>
                <w:rFonts w:hint="eastAsia" w:ascii="宋体" w:hAnsi="宋体" w:cs="宋体"/>
                <w:color w:val="auto"/>
                <w:kern w:val="0"/>
                <w:sz w:val="20"/>
                <w:szCs w:val="20"/>
              </w:rPr>
              <w:t>得分</w:t>
            </w:r>
          </w:p>
        </w:tc>
      </w:tr>
      <w:tr w14:paraId="362B0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jc w:val="center"/>
        </w:trPr>
        <w:tc>
          <w:tcPr>
            <w:tcW w:w="313" w:type="pct"/>
            <w:vMerge w:val="restart"/>
            <w:tcBorders>
              <w:top w:val="single" w:color="auto" w:sz="4" w:space="0"/>
              <w:left w:val="single" w:color="auto" w:sz="4" w:space="0"/>
              <w:right w:val="single" w:color="auto" w:sz="4" w:space="0"/>
            </w:tcBorders>
            <w:vAlign w:val="center"/>
          </w:tcPr>
          <w:p w14:paraId="1600AD59">
            <w:pPr>
              <w:widowControl/>
              <w:jc w:val="center"/>
              <w:rPr>
                <w:rFonts w:ascii="宋体" w:hAnsi="宋体" w:cs="宋体"/>
                <w:color w:val="auto"/>
                <w:kern w:val="0"/>
                <w:sz w:val="20"/>
                <w:szCs w:val="20"/>
              </w:rPr>
            </w:pPr>
            <w:r>
              <w:rPr>
                <w:rFonts w:hint="eastAsia" w:ascii="宋体" w:hAnsi="宋体" w:cs="宋体"/>
                <w:color w:val="auto"/>
                <w:kern w:val="0"/>
                <w:sz w:val="20"/>
                <w:szCs w:val="20"/>
              </w:rPr>
              <w:t>整体绩效目标实现情况（60）</w:t>
            </w:r>
          </w:p>
          <w:p w14:paraId="4C85CD7F">
            <w:pPr>
              <w:widowControl/>
              <w:rPr>
                <w:rFonts w:ascii="宋体" w:hAnsi="宋体" w:cs="宋体"/>
                <w:color w:val="auto"/>
                <w:kern w:val="0"/>
                <w:sz w:val="20"/>
                <w:szCs w:val="20"/>
              </w:rPr>
            </w:pPr>
          </w:p>
        </w:tc>
        <w:tc>
          <w:tcPr>
            <w:tcW w:w="453" w:type="pct"/>
            <w:vMerge w:val="restart"/>
            <w:tcBorders>
              <w:top w:val="single" w:color="auto" w:sz="4" w:space="0"/>
              <w:left w:val="single" w:color="auto" w:sz="4" w:space="0"/>
              <w:right w:val="single" w:color="auto" w:sz="4" w:space="0"/>
            </w:tcBorders>
            <w:vAlign w:val="center"/>
          </w:tcPr>
          <w:p w14:paraId="7B3FDC82">
            <w:pPr>
              <w:widowControl/>
              <w:jc w:val="center"/>
              <w:rPr>
                <w:rFonts w:ascii="宋体" w:hAnsi="宋体" w:cs="宋体"/>
                <w:color w:val="auto"/>
                <w:kern w:val="0"/>
                <w:sz w:val="20"/>
                <w:szCs w:val="20"/>
              </w:rPr>
            </w:pPr>
            <w:r>
              <w:rPr>
                <w:rFonts w:hint="eastAsia" w:ascii="宋体" w:hAnsi="宋体" w:cs="宋体"/>
                <w:color w:val="auto"/>
                <w:kern w:val="0"/>
                <w:sz w:val="20"/>
                <w:szCs w:val="20"/>
              </w:rPr>
              <w:t>产出（30）</w:t>
            </w:r>
          </w:p>
          <w:p w14:paraId="52D793C8">
            <w:pPr>
              <w:widowControl/>
              <w:rPr>
                <w:rFonts w:ascii="宋体" w:hAnsi="宋体" w:cs="宋体"/>
                <w:color w:val="auto"/>
                <w:kern w:val="0"/>
                <w:sz w:val="20"/>
                <w:szCs w:val="20"/>
              </w:rPr>
            </w:pPr>
          </w:p>
        </w:tc>
        <w:tc>
          <w:tcPr>
            <w:tcW w:w="621" w:type="pct"/>
            <w:tcBorders>
              <w:top w:val="single" w:color="auto" w:sz="4" w:space="0"/>
              <w:left w:val="single" w:color="auto" w:sz="4" w:space="0"/>
              <w:right w:val="single" w:color="auto" w:sz="4" w:space="0"/>
            </w:tcBorders>
            <w:vAlign w:val="center"/>
          </w:tcPr>
          <w:p w14:paraId="22CC4D23">
            <w:pPr>
              <w:widowControl/>
              <w:jc w:val="center"/>
              <w:rPr>
                <w:rFonts w:ascii="宋体" w:hAnsi="宋体" w:cs="宋体"/>
                <w:color w:val="auto"/>
                <w:kern w:val="0"/>
                <w:sz w:val="20"/>
                <w:szCs w:val="20"/>
              </w:rPr>
            </w:pPr>
            <w:r>
              <w:rPr>
                <w:rFonts w:hint="eastAsia" w:ascii="宋体" w:hAnsi="宋体" w:cs="宋体"/>
                <w:color w:val="auto"/>
                <w:kern w:val="0"/>
                <w:sz w:val="20"/>
                <w:szCs w:val="20"/>
              </w:rPr>
              <w:t>数量</w:t>
            </w:r>
            <w:r>
              <w:rPr>
                <w:rFonts w:ascii="宋体" w:hAnsi="宋体" w:cs="宋体"/>
                <w:color w:val="auto"/>
                <w:kern w:val="0"/>
                <w:sz w:val="20"/>
                <w:szCs w:val="20"/>
              </w:rPr>
              <w:t>指标</w:t>
            </w:r>
          </w:p>
        </w:tc>
        <w:tc>
          <w:tcPr>
            <w:tcW w:w="1098" w:type="pct"/>
            <w:tcBorders>
              <w:top w:val="single" w:color="auto" w:sz="4" w:space="0"/>
              <w:left w:val="single" w:color="auto" w:sz="4" w:space="0"/>
              <w:bottom w:val="single" w:color="auto" w:sz="4" w:space="0"/>
              <w:right w:val="single" w:color="auto" w:sz="4" w:space="0"/>
            </w:tcBorders>
            <w:vAlign w:val="center"/>
          </w:tcPr>
          <w:p w14:paraId="67AEAB12">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宣传管理、精品创作、科技发展、公共服务、行业监管、媒体融合、产业发展、国际传播、人才建设9个方面重点任务按计划完成</w:t>
            </w:r>
          </w:p>
        </w:tc>
        <w:tc>
          <w:tcPr>
            <w:tcW w:w="1654" w:type="pct"/>
            <w:tcBorders>
              <w:top w:val="single" w:color="auto" w:sz="4" w:space="0"/>
              <w:left w:val="single" w:color="auto" w:sz="4" w:space="0"/>
              <w:bottom w:val="single" w:color="auto" w:sz="4" w:space="0"/>
              <w:right w:val="single" w:color="auto" w:sz="4" w:space="0"/>
            </w:tcBorders>
            <w:vAlign w:val="center"/>
          </w:tcPr>
          <w:p w14:paraId="6D173329">
            <w:pPr>
              <w:widowControl/>
              <w:jc w:val="center"/>
              <w:rPr>
                <w:rFonts w:ascii="宋体" w:hAnsi="宋体" w:cs="宋体"/>
                <w:color w:val="auto"/>
                <w:kern w:val="0"/>
                <w:sz w:val="20"/>
                <w:szCs w:val="20"/>
              </w:rPr>
            </w:pPr>
            <w:r>
              <w:rPr>
                <w:rFonts w:hint="eastAsia" w:ascii="宋体" w:hAnsi="宋体" w:cs="宋体"/>
                <w:color w:val="auto"/>
                <w:kern w:val="0"/>
                <w:sz w:val="20"/>
                <w:szCs w:val="20"/>
              </w:rPr>
              <w:t>9个方面的重点任务保质保量完成。</w:t>
            </w:r>
          </w:p>
        </w:tc>
        <w:tc>
          <w:tcPr>
            <w:tcW w:w="415" w:type="pct"/>
            <w:tcBorders>
              <w:top w:val="single" w:color="auto" w:sz="4" w:space="0"/>
              <w:left w:val="single" w:color="auto" w:sz="4" w:space="0"/>
              <w:bottom w:val="single" w:color="auto" w:sz="4" w:space="0"/>
              <w:right w:val="single" w:color="auto" w:sz="4" w:space="0"/>
            </w:tcBorders>
            <w:vAlign w:val="center"/>
          </w:tcPr>
          <w:p w14:paraId="0EB92FF7">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9</w:t>
            </w:r>
          </w:p>
        </w:tc>
        <w:tc>
          <w:tcPr>
            <w:tcW w:w="442" w:type="pct"/>
            <w:tcBorders>
              <w:top w:val="single" w:color="auto" w:sz="4" w:space="0"/>
              <w:left w:val="single" w:color="auto" w:sz="4" w:space="0"/>
              <w:bottom w:val="single" w:color="auto" w:sz="4" w:space="0"/>
              <w:right w:val="single" w:color="auto" w:sz="4" w:space="0"/>
            </w:tcBorders>
            <w:vAlign w:val="center"/>
          </w:tcPr>
          <w:p w14:paraId="49E1F32C">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9</w:t>
            </w:r>
          </w:p>
        </w:tc>
      </w:tr>
      <w:tr w14:paraId="62D98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13" w:type="pct"/>
            <w:vMerge w:val="continue"/>
            <w:tcBorders>
              <w:left w:val="single" w:color="auto" w:sz="4" w:space="0"/>
              <w:right w:val="single" w:color="auto" w:sz="4" w:space="0"/>
            </w:tcBorders>
            <w:vAlign w:val="center"/>
          </w:tcPr>
          <w:p w14:paraId="7C7565E0">
            <w:pPr>
              <w:widowControl/>
              <w:rPr>
                <w:rFonts w:ascii="宋体" w:hAnsi="宋体" w:cs="宋体"/>
                <w:color w:val="auto"/>
                <w:kern w:val="0"/>
                <w:sz w:val="20"/>
                <w:szCs w:val="20"/>
              </w:rPr>
            </w:pPr>
          </w:p>
        </w:tc>
        <w:tc>
          <w:tcPr>
            <w:tcW w:w="453" w:type="pct"/>
            <w:vMerge w:val="continue"/>
            <w:tcBorders>
              <w:left w:val="single" w:color="auto" w:sz="4" w:space="0"/>
              <w:right w:val="single" w:color="auto" w:sz="4" w:space="0"/>
            </w:tcBorders>
            <w:vAlign w:val="center"/>
          </w:tcPr>
          <w:p w14:paraId="64D482FA">
            <w:pPr>
              <w:widowControl/>
              <w:rPr>
                <w:rFonts w:ascii="宋体" w:hAnsi="宋体" w:cs="宋体"/>
                <w:color w:val="auto"/>
                <w:kern w:val="0"/>
                <w:sz w:val="20"/>
                <w:szCs w:val="20"/>
              </w:rPr>
            </w:pPr>
          </w:p>
        </w:tc>
        <w:tc>
          <w:tcPr>
            <w:tcW w:w="621" w:type="pct"/>
            <w:vMerge w:val="restart"/>
            <w:tcBorders>
              <w:top w:val="single" w:color="auto" w:sz="4" w:space="0"/>
              <w:left w:val="single" w:color="auto" w:sz="4" w:space="0"/>
              <w:right w:val="single" w:color="auto" w:sz="4" w:space="0"/>
            </w:tcBorders>
            <w:vAlign w:val="center"/>
          </w:tcPr>
          <w:p w14:paraId="0D4B9F4D">
            <w:pPr>
              <w:widowControl/>
              <w:jc w:val="center"/>
              <w:rPr>
                <w:rFonts w:ascii="宋体" w:hAnsi="宋体" w:cs="宋体"/>
                <w:color w:val="auto"/>
                <w:kern w:val="0"/>
                <w:sz w:val="20"/>
                <w:szCs w:val="20"/>
              </w:rPr>
            </w:pPr>
            <w:r>
              <w:rPr>
                <w:rFonts w:hint="eastAsia" w:ascii="宋体" w:hAnsi="宋体" w:cs="宋体"/>
                <w:color w:val="auto"/>
                <w:kern w:val="0"/>
                <w:sz w:val="20"/>
                <w:szCs w:val="20"/>
              </w:rPr>
              <w:t>质量</w:t>
            </w:r>
            <w:r>
              <w:rPr>
                <w:rFonts w:ascii="宋体" w:hAnsi="宋体" w:cs="宋体"/>
                <w:color w:val="auto"/>
                <w:kern w:val="0"/>
                <w:sz w:val="20"/>
                <w:szCs w:val="20"/>
              </w:rPr>
              <w:t>指标</w:t>
            </w:r>
          </w:p>
        </w:tc>
        <w:tc>
          <w:tcPr>
            <w:tcW w:w="1098" w:type="pct"/>
            <w:tcBorders>
              <w:top w:val="single" w:color="auto" w:sz="4" w:space="0"/>
              <w:left w:val="single" w:color="auto" w:sz="4" w:space="0"/>
              <w:bottom w:val="single" w:color="auto" w:sz="4" w:space="0"/>
              <w:right w:val="single" w:color="auto" w:sz="4" w:space="0"/>
            </w:tcBorders>
            <w:vAlign w:val="center"/>
          </w:tcPr>
          <w:p w14:paraId="54FB678B">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优化精品创作引导扶持机制，打造一批彰显时代特色、中国精神、北京风格的扛鼎之作</w:t>
            </w:r>
          </w:p>
        </w:tc>
        <w:tc>
          <w:tcPr>
            <w:tcW w:w="1654" w:type="pct"/>
            <w:tcBorders>
              <w:top w:val="single" w:color="auto" w:sz="4" w:space="0"/>
              <w:left w:val="single" w:color="auto" w:sz="4" w:space="0"/>
              <w:bottom w:val="single" w:color="auto" w:sz="4" w:space="0"/>
              <w:right w:val="single" w:color="auto" w:sz="4" w:space="0"/>
            </w:tcBorders>
            <w:vAlign w:val="center"/>
          </w:tcPr>
          <w:p w14:paraId="6600A92D">
            <w:pPr>
              <w:widowControl/>
              <w:jc w:val="center"/>
              <w:rPr>
                <w:rFonts w:ascii="宋体" w:hAnsi="宋体" w:cs="宋体"/>
                <w:color w:val="auto"/>
                <w:kern w:val="0"/>
                <w:sz w:val="20"/>
                <w:szCs w:val="20"/>
              </w:rPr>
            </w:pPr>
            <w:r>
              <w:rPr>
                <w:rFonts w:hint="eastAsia" w:ascii="宋体" w:hAnsi="宋体" w:cs="宋体"/>
                <w:color w:val="auto"/>
                <w:kern w:val="0"/>
                <w:sz w:val="20"/>
                <w:szCs w:val="20"/>
              </w:rPr>
              <w:t>精品创作引导扶持机制得以优化，在作品产出、评奖推优等方面持续领跑全国，打造“北京大视听”文化名片。</w:t>
            </w:r>
          </w:p>
        </w:tc>
        <w:tc>
          <w:tcPr>
            <w:tcW w:w="415" w:type="pct"/>
            <w:tcBorders>
              <w:top w:val="single" w:color="auto" w:sz="4" w:space="0"/>
              <w:left w:val="single" w:color="auto" w:sz="4" w:space="0"/>
              <w:bottom w:val="single" w:color="auto" w:sz="4" w:space="0"/>
              <w:right w:val="single" w:color="auto" w:sz="4" w:space="0"/>
            </w:tcBorders>
            <w:vAlign w:val="center"/>
          </w:tcPr>
          <w:p w14:paraId="07A6CC15">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4</w:t>
            </w:r>
          </w:p>
        </w:tc>
        <w:tc>
          <w:tcPr>
            <w:tcW w:w="442" w:type="pct"/>
            <w:tcBorders>
              <w:top w:val="single" w:color="auto" w:sz="4" w:space="0"/>
              <w:left w:val="single" w:color="auto" w:sz="4" w:space="0"/>
              <w:bottom w:val="single" w:color="auto" w:sz="4" w:space="0"/>
              <w:right w:val="single" w:color="auto" w:sz="4" w:space="0"/>
            </w:tcBorders>
            <w:vAlign w:val="center"/>
          </w:tcPr>
          <w:p w14:paraId="554BE9C9">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4</w:t>
            </w:r>
          </w:p>
        </w:tc>
      </w:tr>
      <w:tr w14:paraId="2F77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13" w:type="pct"/>
            <w:vMerge w:val="continue"/>
            <w:tcBorders>
              <w:left w:val="single" w:color="auto" w:sz="4" w:space="0"/>
              <w:right w:val="single" w:color="auto" w:sz="4" w:space="0"/>
            </w:tcBorders>
            <w:vAlign w:val="center"/>
          </w:tcPr>
          <w:p w14:paraId="130E1603">
            <w:pPr>
              <w:widowControl/>
              <w:jc w:val="center"/>
              <w:rPr>
                <w:rFonts w:ascii="宋体" w:hAnsi="宋体" w:cs="宋体"/>
                <w:color w:val="auto"/>
                <w:kern w:val="0"/>
                <w:sz w:val="20"/>
                <w:szCs w:val="20"/>
              </w:rPr>
            </w:pPr>
          </w:p>
        </w:tc>
        <w:tc>
          <w:tcPr>
            <w:tcW w:w="453" w:type="pct"/>
            <w:vMerge w:val="continue"/>
            <w:tcBorders>
              <w:left w:val="single" w:color="auto" w:sz="4" w:space="0"/>
              <w:right w:val="single" w:color="auto" w:sz="4" w:space="0"/>
            </w:tcBorders>
            <w:vAlign w:val="center"/>
          </w:tcPr>
          <w:p w14:paraId="2AF0FBF1">
            <w:pPr>
              <w:widowControl/>
              <w:jc w:val="center"/>
              <w:rPr>
                <w:rFonts w:ascii="宋体" w:hAnsi="宋体" w:cs="宋体"/>
                <w:color w:val="auto"/>
                <w:kern w:val="0"/>
                <w:sz w:val="20"/>
                <w:szCs w:val="20"/>
              </w:rPr>
            </w:pPr>
          </w:p>
        </w:tc>
        <w:tc>
          <w:tcPr>
            <w:tcW w:w="621" w:type="pct"/>
            <w:vMerge w:val="continue"/>
            <w:tcBorders>
              <w:left w:val="single" w:color="auto" w:sz="4" w:space="0"/>
              <w:right w:val="single" w:color="auto" w:sz="4" w:space="0"/>
            </w:tcBorders>
            <w:vAlign w:val="center"/>
          </w:tcPr>
          <w:p w14:paraId="34145EA1">
            <w:pPr>
              <w:widowControl/>
              <w:jc w:val="center"/>
              <w:rPr>
                <w:rFonts w:ascii="宋体" w:hAnsi="宋体" w:cs="宋体"/>
                <w:color w:val="auto"/>
                <w:kern w:val="0"/>
                <w:sz w:val="20"/>
                <w:szCs w:val="20"/>
              </w:rPr>
            </w:pPr>
          </w:p>
        </w:tc>
        <w:tc>
          <w:tcPr>
            <w:tcW w:w="1098" w:type="pct"/>
            <w:tcBorders>
              <w:top w:val="single" w:color="auto" w:sz="4" w:space="0"/>
              <w:left w:val="single" w:color="auto" w:sz="4" w:space="0"/>
              <w:bottom w:val="single" w:color="auto" w:sz="4" w:space="0"/>
              <w:right w:val="single" w:color="auto" w:sz="4" w:space="0"/>
            </w:tcBorders>
            <w:vAlign w:val="center"/>
          </w:tcPr>
          <w:p w14:paraId="14727025">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扎实推进市区两级重点栏目和节目</w:t>
            </w:r>
            <w:r>
              <w:rPr>
                <w:rFonts w:hint="eastAsia" w:ascii="宋体" w:hAnsi="宋体" w:cs="宋体"/>
                <w:color w:val="auto"/>
                <w:kern w:val="0"/>
                <w:sz w:val="20"/>
                <w:szCs w:val="20"/>
                <w:lang w:val="en-US" w:eastAsia="zh-CN" w:bidi="ar"/>
              </w:rPr>
              <w:t>收听收看</w:t>
            </w:r>
            <w:r>
              <w:rPr>
                <w:rFonts w:hint="eastAsia" w:ascii="宋体" w:hAnsi="宋体" w:cs="宋体"/>
                <w:color w:val="auto"/>
                <w:kern w:val="0"/>
                <w:sz w:val="20"/>
                <w:szCs w:val="20"/>
                <w:lang w:bidi="ar"/>
              </w:rPr>
              <w:t>工作，广播电视节目和文艺作品监管能力和服务水平不断提升</w:t>
            </w:r>
          </w:p>
        </w:tc>
        <w:tc>
          <w:tcPr>
            <w:tcW w:w="1654" w:type="pct"/>
            <w:tcBorders>
              <w:top w:val="single" w:color="auto" w:sz="4" w:space="0"/>
              <w:left w:val="single" w:color="auto" w:sz="4" w:space="0"/>
              <w:bottom w:val="single" w:color="auto" w:sz="4" w:space="0"/>
              <w:right w:val="single" w:color="auto" w:sz="4" w:space="0"/>
            </w:tcBorders>
            <w:vAlign w:val="center"/>
          </w:tcPr>
          <w:p w14:paraId="07428D3C">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做好市区两级重点栏目和节目的收听收看工作，不断提升广播电视节目和文艺作品监管能力和服务水平。</w:t>
            </w:r>
          </w:p>
        </w:tc>
        <w:tc>
          <w:tcPr>
            <w:tcW w:w="415" w:type="pct"/>
            <w:tcBorders>
              <w:top w:val="single" w:color="auto" w:sz="4" w:space="0"/>
              <w:left w:val="single" w:color="auto" w:sz="4" w:space="0"/>
              <w:bottom w:val="single" w:color="auto" w:sz="4" w:space="0"/>
              <w:right w:val="single" w:color="auto" w:sz="4" w:space="0"/>
            </w:tcBorders>
            <w:vAlign w:val="center"/>
          </w:tcPr>
          <w:p w14:paraId="402C1464">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4</w:t>
            </w:r>
          </w:p>
        </w:tc>
        <w:tc>
          <w:tcPr>
            <w:tcW w:w="442" w:type="pct"/>
            <w:tcBorders>
              <w:top w:val="single" w:color="auto" w:sz="4" w:space="0"/>
              <w:left w:val="single" w:color="auto" w:sz="4" w:space="0"/>
              <w:bottom w:val="single" w:color="auto" w:sz="4" w:space="0"/>
              <w:right w:val="single" w:color="auto" w:sz="4" w:space="0"/>
            </w:tcBorders>
            <w:vAlign w:val="center"/>
          </w:tcPr>
          <w:p w14:paraId="70E2C912">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3.9</w:t>
            </w:r>
          </w:p>
        </w:tc>
      </w:tr>
      <w:tr w14:paraId="435B6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 w:hRule="atLeast"/>
          <w:jc w:val="center"/>
        </w:trPr>
        <w:tc>
          <w:tcPr>
            <w:tcW w:w="313" w:type="pct"/>
            <w:vMerge w:val="continue"/>
            <w:tcBorders>
              <w:left w:val="single" w:color="auto" w:sz="4" w:space="0"/>
              <w:bottom w:val="single" w:color="auto" w:sz="4" w:space="0"/>
              <w:right w:val="single" w:color="auto" w:sz="4" w:space="0"/>
            </w:tcBorders>
            <w:vAlign w:val="center"/>
          </w:tcPr>
          <w:p w14:paraId="704D88FE">
            <w:pPr>
              <w:widowControl/>
              <w:jc w:val="center"/>
              <w:rPr>
                <w:rFonts w:ascii="宋体" w:hAnsi="宋体" w:cs="宋体"/>
                <w:color w:val="auto"/>
                <w:kern w:val="0"/>
                <w:sz w:val="20"/>
                <w:szCs w:val="20"/>
              </w:rPr>
            </w:pPr>
          </w:p>
        </w:tc>
        <w:tc>
          <w:tcPr>
            <w:tcW w:w="453" w:type="pct"/>
            <w:vMerge w:val="continue"/>
            <w:tcBorders>
              <w:left w:val="single" w:color="auto" w:sz="4" w:space="0"/>
              <w:bottom w:val="single" w:color="auto" w:sz="4" w:space="0"/>
              <w:right w:val="single" w:color="auto" w:sz="4" w:space="0"/>
            </w:tcBorders>
            <w:vAlign w:val="center"/>
          </w:tcPr>
          <w:p w14:paraId="00356F17">
            <w:pPr>
              <w:widowControl/>
              <w:jc w:val="center"/>
              <w:rPr>
                <w:rFonts w:ascii="宋体" w:hAnsi="宋体" w:cs="宋体"/>
                <w:color w:val="auto"/>
                <w:kern w:val="0"/>
                <w:sz w:val="20"/>
                <w:szCs w:val="20"/>
              </w:rPr>
            </w:pPr>
          </w:p>
        </w:tc>
        <w:tc>
          <w:tcPr>
            <w:tcW w:w="621" w:type="pct"/>
            <w:vMerge w:val="continue"/>
            <w:tcBorders>
              <w:left w:val="single" w:color="auto" w:sz="4" w:space="0"/>
              <w:bottom w:val="single" w:color="auto" w:sz="4" w:space="0"/>
              <w:right w:val="single" w:color="auto" w:sz="4" w:space="0"/>
            </w:tcBorders>
            <w:vAlign w:val="center"/>
          </w:tcPr>
          <w:p w14:paraId="43D5A65C">
            <w:pPr>
              <w:widowControl/>
              <w:jc w:val="center"/>
              <w:rPr>
                <w:rFonts w:ascii="宋体" w:hAnsi="宋体" w:cs="宋体"/>
                <w:color w:val="auto"/>
                <w:kern w:val="0"/>
                <w:sz w:val="20"/>
                <w:szCs w:val="20"/>
              </w:rPr>
            </w:pPr>
          </w:p>
        </w:tc>
        <w:tc>
          <w:tcPr>
            <w:tcW w:w="1098" w:type="pct"/>
            <w:tcBorders>
              <w:top w:val="single" w:color="auto" w:sz="4" w:space="0"/>
              <w:left w:val="single" w:color="auto" w:sz="4" w:space="0"/>
              <w:bottom w:val="single" w:color="auto" w:sz="4" w:space="0"/>
              <w:right w:val="single" w:color="auto" w:sz="4" w:space="0"/>
            </w:tcBorders>
            <w:vAlign w:val="center"/>
          </w:tcPr>
          <w:p w14:paraId="5D4CEE2A">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深化监测监管与行业治理体系建设，实现对广播电视网络视听行业的有效监管，夯实安全播出及网络安全基础保障，促进行业管理优化升级</w:t>
            </w:r>
          </w:p>
        </w:tc>
        <w:tc>
          <w:tcPr>
            <w:tcW w:w="1654" w:type="pct"/>
            <w:tcBorders>
              <w:top w:val="single" w:color="auto" w:sz="4" w:space="0"/>
              <w:left w:val="single" w:color="auto" w:sz="4" w:space="0"/>
              <w:bottom w:val="single" w:color="auto" w:sz="4" w:space="0"/>
              <w:right w:val="single" w:color="auto" w:sz="4" w:space="0"/>
            </w:tcBorders>
            <w:vAlign w:val="center"/>
          </w:tcPr>
          <w:p w14:paraId="71AC95A6">
            <w:pPr>
              <w:widowControl/>
              <w:jc w:val="center"/>
              <w:rPr>
                <w:rFonts w:ascii="宋体" w:hAnsi="宋体" w:cs="宋体"/>
                <w:color w:val="auto"/>
                <w:kern w:val="0"/>
                <w:sz w:val="20"/>
                <w:szCs w:val="20"/>
              </w:rPr>
            </w:pPr>
            <w:r>
              <w:rPr>
                <w:rFonts w:hint="eastAsia" w:ascii="宋体" w:hAnsi="宋体" w:cs="宋体"/>
                <w:color w:val="auto"/>
                <w:kern w:val="0"/>
                <w:sz w:val="20"/>
                <w:szCs w:val="20"/>
              </w:rPr>
              <w:t>实现对广播电视网络视听行业</w:t>
            </w:r>
            <w:r>
              <w:rPr>
                <w:rFonts w:hint="eastAsia" w:ascii="宋体" w:hAnsi="宋体" w:cs="宋体"/>
                <w:color w:val="auto"/>
                <w:kern w:val="0"/>
                <w:sz w:val="20"/>
                <w:szCs w:val="20"/>
                <w:lang w:val="en-US" w:eastAsia="zh-CN"/>
              </w:rPr>
              <w:t>的</w:t>
            </w:r>
            <w:r>
              <w:rPr>
                <w:rFonts w:hint="eastAsia" w:ascii="宋体" w:hAnsi="宋体" w:cs="宋体"/>
                <w:color w:val="auto"/>
                <w:kern w:val="0"/>
                <w:sz w:val="20"/>
                <w:szCs w:val="20"/>
              </w:rPr>
              <w:t>有效监管，夯实安全播出及网络安全基础保障，安全保障和行业治理持续增强。</w:t>
            </w:r>
          </w:p>
        </w:tc>
        <w:tc>
          <w:tcPr>
            <w:tcW w:w="415" w:type="pct"/>
            <w:tcBorders>
              <w:top w:val="single" w:color="auto" w:sz="4" w:space="0"/>
              <w:left w:val="single" w:color="auto" w:sz="4" w:space="0"/>
              <w:bottom w:val="single" w:color="auto" w:sz="4" w:space="0"/>
              <w:right w:val="single" w:color="auto" w:sz="4" w:space="0"/>
            </w:tcBorders>
            <w:vAlign w:val="center"/>
          </w:tcPr>
          <w:p w14:paraId="65A6B155">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4</w:t>
            </w:r>
          </w:p>
        </w:tc>
        <w:tc>
          <w:tcPr>
            <w:tcW w:w="442" w:type="pct"/>
            <w:tcBorders>
              <w:top w:val="single" w:color="auto" w:sz="4" w:space="0"/>
              <w:left w:val="single" w:color="auto" w:sz="4" w:space="0"/>
              <w:bottom w:val="single" w:color="auto" w:sz="4" w:space="0"/>
              <w:right w:val="single" w:color="auto" w:sz="4" w:space="0"/>
            </w:tcBorders>
            <w:vAlign w:val="center"/>
          </w:tcPr>
          <w:p w14:paraId="190B455A">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4</w:t>
            </w:r>
          </w:p>
        </w:tc>
      </w:tr>
      <w:tr w14:paraId="3A158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1" w:hRule="atLeast"/>
          <w:jc w:val="center"/>
        </w:trPr>
        <w:tc>
          <w:tcPr>
            <w:tcW w:w="313" w:type="pct"/>
            <w:vMerge w:val="restart"/>
            <w:tcBorders>
              <w:top w:val="single" w:color="auto" w:sz="4" w:space="0"/>
              <w:left w:val="single" w:color="auto" w:sz="4" w:space="0"/>
              <w:right w:val="single" w:color="auto" w:sz="4" w:space="0"/>
            </w:tcBorders>
            <w:vAlign w:val="center"/>
          </w:tcPr>
          <w:p w14:paraId="79D71B33">
            <w:pPr>
              <w:widowControl/>
              <w:jc w:val="center"/>
              <w:rPr>
                <w:rFonts w:ascii="宋体" w:hAnsi="宋体" w:cs="宋体"/>
                <w:color w:val="auto"/>
                <w:kern w:val="0"/>
                <w:sz w:val="20"/>
                <w:szCs w:val="20"/>
              </w:rPr>
            </w:pPr>
            <w:r>
              <w:rPr>
                <w:rFonts w:hint="eastAsia" w:ascii="宋体" w:hAnsi="宋体" w:cs="宋体"/>
                <w:color w:val="auto"/>
                <w:kern w:val="0"/>
                <w:sz w:val="20"/>
                <w:szCs w:val="20"/>
              </w:rPr>
              <w:t>续上页</w:t>
            </w:r>
          </w:p>
        </w:tc>
        <w:tc>
          <w:tcPr>
            <w:tcW w:w="453" w:type="pct"/>
            <w:vMerge w:val="restart"/>
            <w:tcBorders>
              <w:top w:val="single" w:color="auto" w:sz="4" w:space="0"/>
              <w:left w:val="single" w:color="auto" w:sz="4" w:space="0"/>
              <w:right w:val="single" w:color="auto" w:sz="4" w:space="0"/>
            </w:tcBorders>
            <w:vAlign w:val="center"/>
          </w:tcPr>
          <w:p w14:paraId="631FE83E">
            <w:pPr>
              <w:widowControl/>
              <w:jc w:val="center"/>
              <w:rPr>
                <w:rFonts w:ascii="宋体" w:hAnsi="宋体" w:cs="宋体"/>
                <w:color w:val="auto"/>
                <w:kern w:val="0"/>
                <w:sz w:val="20"/>
                <w:szCs w:val="20"/>
              </w:rPr>
            </w:pPr>
            <w:r>
              <w:rPr>
                <w:rFonts w:hint="eastAsia" w:ascii="宋体" w:hAnsi="宋体" w:cs="宋体"/>
                <w:color w:val="auto"/>
                <w:kern w:val="0"/>
                <w:sz w:val="20"/>
                <w:szCs w:val="20"/>
              </w:rPr>
              <w:t>续上页</w:t>
            </w:r>
          </w:p>
        </w:tc>
        <w:tc>
          <w:tcPr>
            <w:tcW w:w="621" w:type="pct"/>
            <w:tcBorders>
              <w:top w:val="single" w:color="auto" w:sz="4" w:space="0"/>
              <w:left w:val="single" w:color="auto" w:sz="4" w:space="0"/>
              <w:bottom w:val="single" w:color="auto" w:sz="4" w:space="0"/>
              <w:right w:val="single" w:color="auto" w:sz="4" w:space="0"/>
            </w:tcBorders>
            <w:vAlign w:val="center"/>
          </w:tcPr>
          <w:p w14:paraId="1B4F2AB9">
            <w:pPr>
              <w:widowControl/>
              <w:jc w:val="center"/>
              <w:rPr>
                <w:rFonts w:ascii="宋体" w:hAnsi="宋体" w:cs="宋体"/>
                <w:color w:val="auto"/>
                <w:kern w:val="0"/>
                <w:sz w:val="20"/>
                <w:szCs w:val="20"/>
              </w:rPr>
            </w:pPr>
            <w:r>
              <w:rPr>
                <w:rFonts w:hint="eastAsia" w:ascii="宋体" w:hAnsi="宋体" w:cs="宋体"/>
                <w:color w:val="auto"/>
                <w:kern w:val="0"/>
                <w:sz w:val="20"/>
                <w:szCs w:val="20"/>
              </w:rPr>
              <w:t>时效指标</w:t>
            </w:r>
          </w:p>
        </w:tc>
        <w:tc>
          <w:tcPr>
            <w:tcW w:w="1098" w:type="pct"/>
            <w:tcBorders>
              <w:top w:val="single" w:color="auto" w:sz="4" w:space="0"/>
              <w:left w:val="single" w:color="auto" w:sz="4" w:space="0"/>
              <w:bottom w:val="single" w:color="auto" w:sz="4" w:space="0"/>
              <w:right w:val="single" w:color="auto" w:sz="4" w:space="0"/>
            </w:tcBorders>
            <w:vAlign w:val="center"/>
          </w:tcPr>
          <w:p w14:paraId="71DCB556">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12月内完成全年工作任务</w:t>
            </w:r>
          </w:p>
        </w:tc>
        <w:tc>
          <w:tcPr>
            <w:tcW w:w="1654" w:type="pct"/>
            <w:tcBorders>
              <w:top w:val="single" w:color="auto" w:sz="4" w:space="0"/>
              <w:left w:val="single" w:color="auto" w:sz="4" w:space="0"/>
              <w:bottom w:val="single" w:color="auto" w:sz="4" w:space="0"/>
              <w:right w:val="single" w:color="auto" w:sz="4" w:space="0"/>
            </w:tcBorders>
            <w:vAlign w:val="center"/>
          </w:tcPr>
          <w:p w14:paraId="62983090">
            <w:pPr>
              <w:widowControl/>
              <w:jc w:val="center"/>
              <w:rPr>
                <w:rFonts w:ascii="宋体" w:hAnsi="宋体" w:cs="宋体"/>
                <w:color w:val="auto"/>
                <w:kern w:val="0"/>
                <w:sz w:val="20"/>
                <w:szCs w:val="20"/>
              </w:rPr>
            </w:pPr>
            <w:r>
              <w:rPr>
                <w:rFonts w:hint="eastAsia" w:ascii="宋体" w:hAnsi="宋体" w:cs="宋体"/>
                <w:color w:val="auto"/>
                <w:kern w:val="0"/>
                <w:sz w:val="20"/>
                <w:szCs w:val="20"/>
              </w:rPr>
              <w:t>1</w:t>
            </w:r>
            <w:r>
              <w:rPr>
                <w:rFonts w:ascii="宋体" w:hAnsi="宋体" w:cs="宋体"/>
                <w:color w:val="auto"/>
                <w:kern w:val="0"/>
                <w:sz w:val="20"/>
                <w:szCs w:val="20"/>
              </w:rPr>
              <w:t>2</w:t>
            </w:r>
            <w:r>
              <w:rPr>
                <w:rFonts w:hint="eastAsia" w:ascii="宋体" w:hAnsi="宋体" w:cs="宋体"/>
                <w:color w:val="auto"/>
                <w:kern w:val="0"/>
                <w:sz w:val="20"/>
                <w:szCs w:val="20"/>
              </w:rPr>
              <w:t>月内基本完成全年工作任务。</w:t>
            </w:r>
          </w:p>
        </w:tc>
        <w:tc>
          <w:tcPr>
            <w:tcW w:w="415" w:type="pct"/>
            <w:tcBorders>
              <w:top w:val="single" w:color="auto" w:sz="4" w:space="0"/>
              <w:left w:val="single" w:color="auto" w:sz="4" w:space="0"/>
              <w:bottom w:val="single" w:color="auto" w:sz="4" w:space="0"/>
              <w:right w:val="single" w:color="auto" w:sz="4" w:space="0"/>
            </w:tcBorders>
            <w:vAlign w:val="center"/>
          </w:tcPr>
          <w:p w14:paraId="16E30102">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5</w:t>
            </w:r>
          </w:p>
        </w:tc>
        <w:tc>
          <w:tcPr>
            <w:tcW w:w="442" w:type="pct"/>
            <w:tcBorders>
              <w:top w:val="single" w:color="auto" w:sz="4" w:space="0"/>
              <w:left w:val="single" w:color="auto" w:sz="4" w:space="0"/>
              <w:bottom w:val="single" w:color="auto" w:sz="4" w:space="0"/>
              <w:right w:val="single" w:color="auto" w:sz="4" w:space="0"/>
            </w:tcBorders>
            <w:vAlign w:val="center"/>
          </w:tcPr>
          <w:p w14:paraId="5723F2CD">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4.8</w:t>
            </w:r>
          </w:p>
        </w:tc>
      </w:tr>
      <w:tr w14:paraId="6DB4B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2" w:hRule="atLeast"/>
          <w:jc w:val="center"/>
        </w:trPr>
        <w:tc>
          <w:tcPr>
            <w:tcW w:w="313" w:type="pct"/>
            <w:vMerge w:val="continue"/>
            <w:tcBorders>
              <w:left w:val="single" w:color="auto" w:sz="4" w:space="0"/>
              <w:right w:val="single" w:color="auto" w:sz="4" w:space="0"/>
            </w:tcBorders>
            <w:vAlign w:val="center"/>
          </w:tcPr>
          <w:p w14:paraId="6AF0563B">
            <w:pPr>
              <w:widowControl/>
              <w:jc w:val="center"/>
              <w:rPr>
                <w:rFonts w:ascii="宋体" w:hAnsi="宋体" w:cs="宋体"/>
                <w:color w:val="auto"/>
                <w:kern w:val="0"/>
                <w:sz w:val="20"/>
                <w:szCs w:val="20"/>
              </w:rPr>
            </w:pPr>
          </w:p>
        </w:tc>
        <w:tc>
          <w:tcPr>
            <w:tcW w:w="453" w:type="pct"/>
            <w:vMerge w:val="continue"/>
            <w:tcBorders>
              <w:left w:val="single" w:color="auto" w:sz="4" w:space="0"/>
              <w:bottom w:val="single" w:color="auto" w:sz="4" w:space="0"/>
              <w:right w:val="single" w:color="auto" w:sz="4" w:space="0"/>
            </w:tcBorders>
            <w:vAlign w:val="center"/>
          </w:tcPr>
          <w:p w14:paraId="57BCF053">
            <w:pPr>
              <w:widowControl/>
              <w:jc w:val="center"/>
              <w:rPr>
                <w:rFonts w:ascii="宋体" w:hAnsi="宋体" w:cs="宋体"/>
                <w:color w:val="auto"/>
                <w:kern w:val="0"/>
                <w:sz w:val="20"/>
                <w:szCs w:val="20"/>
              </w:rPr>
            </w:pPr>
          </w:p>
        </w:tc>
        <w:tc>
          <w:tcPr>
            <w:tcW w:w="621" w:type="pct"/>
            <w:tcBorders>
              <w:top w:val="single" w:color="auto" w:sz="4" w:space="0"/>
              <w:left w:val="single" w:color="auto" w:sz="4" w:space="0"/>
              <w:bottom w:val="single" w:color="auto" w:sz="4" w:space="0"/>
              <w:right w:val="single" w:color="auto" w:sz="4" w:space="0"/>
            </w:tcBorders>
            <w:vAlign w:val="center"/>
          </w:tcPr>
          <w:p w14:paraId="147BD243">
            <w:pPr>
              <w:widowControl/>
              <w:jc w:val="center"/>
              <w:rPr>
                <w:rFonts w:ascii="宋体" w:hAnsi="宋体" w:cs="宋体"/>
                <w:color w:val="auto"/>
                <w:kern w:val="0"/>
                <w:sz w:val="20"/>
                <w:szCs w:val="20"/>
              </w:rPr>
            </w:pPr>
            <w:r>
              <w:rPr>
                <w:rFonts w:hint="eastAsia" w:ascii="宋体" w:hAnsi="宋体" w:cs="宋体"/>
                <w:color w:val="auto"/>
                <w:kern w:val="0"/>
                <w:sz w:val="20"/>
                <w:szCs w:val="20"/>
              </w:rPr>
              <w:t>成本指标</w:t>
            </w:r>
          </w:p>
        </w:tc>
        <w:tc>
          <w:tcPr>
            <w:tcW w:w="1098" w:type="pct"/>
            <w:tcBorders>
              <w:top w:val="single" w:color="auto" w:sz="4" w:space="0"/>
              <w:left w:val="single" w:color="auto" w:sz="4" w:space="0"/>
              <w:bottom w:val="single" w:color="auto" w:sz="4" w:space="0"/>
              <w:right w:val="single" w:color="auto" w:sz="4" w:space="0"/>
            </w:tcBorders>
            <w:vAlign w:val="center"/>
          </w:tcPr>
          <w:p w14:paraId="10730EAC">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在预算规模下严格控制支出成本，充分发挥财政资金效能</w:t>
            </w:r>
          </w:p>
        </w:tc>
        <w:tc>
          <w:tcPr>
            <w:tcW w:w="1654" w:type="pct"/>
            <w:tcBorders>
              <w:top w:val="single" w:color="auto" w:sz="4" w:space="0"/>
              <w:left w:val="single" w:color="auto" w:sz="4" w:space="0"/>
              <w:bottom w:val="single" w:color="auto" w:sz="4" w:space="0"/>
              <w:right w:val="single" w:color="auto" w:sz="4" w:space="0"/>
            </w:tcBorders>
            <w:vAlign w:val="center"/>
          </w:tcPr>
          <w:p w14:paraId="40CB29EE">
            <w:pPr>
              <w:widowControl/>
              <w:jc w:val="center"/>
              <w:rPr>
                <w:rFonts w:ascii="宋体" w:hAnsi="宋体" w:cs="宋体"/>
                <w:color w:val="auto"/>
                <w:kern w:val="0"/>
                <w:sz w:val="20"/>
                <w:szCs w:val="20"/>
              </w:rPr>
            </w:pPr>
            <w:r>
              <w:rPr>
                <w:rFonts w:hint="eastAsia" w:ascii="宋体" w:hAnsi="宋体" w:cs="宋体"/>
                <w:color w:val="auto"/>
                <w:kern w:val="0"/>
                <w:sz w:val="20"/>
                <w:szCs w:val="20"/>
              </w:rPr>
              <w:t>严格在预算范围内支出，不存在无预算和超预算支出情况，实现了财政资金的提质增效。</w:t>
            </w:r>
          </w:p>
        </w:tc>
        <w:tc>
          <w:tcPr>
            <w:tcW w:w="415" w:type="pct"/>
            <w:tcBorders>
              <w:top w:val="single" w:color="auto" w:sz="4" w:space="0"/>
              <w:left w:val="single" w:color="auto" w:sz="4" w:space="0"/>
              <w:bottom w:val="single" w:color="auto" w:sz="4" w:space="0"/>
              <w:right w:val="single" w:color="auto" w:sz="4" w:space="0"/>
            </w:tcBorders>
            <w:vAlign w:val="center"/>
          </w:tcPr>
          <w:p w14:paraId="005D9FC9">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4</w:t>
            </w:r>
          </w:p>
        </w:tc>
        <w:tc>
          <w:tcPr>
            <w:tcW w:w="442" w:type="pct"/>
            <w:tcBorders>
              <w:top w:val="single" w:color="auto" w:sz="4" w:space="0"/>
              <w:left w:val="single" w:color="auto" w:sz="4" w:space="0"/>
              <w:bottom w:val="single" w:color="auto" w:sz="4" w:space="0"/>
              <w:right w:val="single" w:color="auto" w:sz="4" w:space="0"/>
            </w:tcBorders>
            <w:vAlign w:val="center"/>
          </w:tcPr>
          <w:p w14:paraId="72CC62CA">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4</w:t>
            </w:r>
          </w:p>
        </w:tc>
      </w:tr>
      <w:tr w14:paraId="551F2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1" w:hRule="atLeast"/>
          <w:jc w:val="center"/>
        </w:trPr>
        <w:tc>
          <w:tcPr>
            <w:tcW w:w="313" w:type="pct"/>
            <w:vMerge w:val="continue"/>
            <w:tcBorders>
              <w:left w:val="single" w:color="auto" w:sz="4" w:space="0"/>
              <w:right w:val="single" w:color="auto" w:sz="4" w:space="0"/>
            </w:tcBorders>
            <w:vAlign w:val="center"/>
          </w:tcPr>
          <w:p w14:paraId="02BE625B">
            <w:pPr>
              <w:widowControl/>
              <w:jc w:val="left"/>
              <w:rPr>
                <w:rFonts w:ascii="宋体" w:hAnsi="宋体" w:cs="宋体"/>
                <w:color w:val="auto"/>
                <w:kern w:val="0"/>
                <w:sz w:val="20"/>
                <w:szCs w:val="20"/>
              </w:rPr>
            </w:pPr>
          </w:p>
        </w:tc>
        <w:tc>
          <w:tcPr>
            <w:tcW w:w="453" w:type="pct"/>
            <w:vMerge w:val="restart"/>
            <w:tcBorders>
              <w:top w:val="single" w:color="auto" w:sz="4" w:space="0"/>
            </w:tcBorders>
            <w:vAlign w:val="center"/>
          </w:tcPr>
          <w:p w14:paraId="1C361F51">
            <w:pPr>
              <w:widowControl/>
              <w:jc w:val="center"/>
              <w:rPr>
                <w:rFonts w:ascii="宋体" w:hAnsi="宋体" w:cs="宋体"/>
                <w:color w:val="auto"/>
                <w:kern w:val="0"/>
                <w:sz w:val="20"/>
                <w:szCs w:val="20"/>
              </w:rPr>
            </w:pPr>
            <w:r>
              <w:rPr>
                <w:rFonts w:hint="eastAsia" w:ascii="宋体" w:hAnsi="宋体" w:cs="宋体"/>
                <w:color w:val="auto"/>
                <w:kern w:val="0"/>
                <w:sz w:val="20"/>
                <w:szCs w:val="20"/>
              </w:rPr>
              <w:t>效果（30）</w:t>
            </w:r>
          </w:p>
        </w:tc>
        <w:tc>
          <w:tcPr>
            <w:tcW w:w="621" w:type="pct"/>
            <w:vMerge w:val="restart"/>
            <w:tcBorders>
              <w:top w:val="single" w:color="auto" w:sz="4" w:space="0"/>
            </w:tcBorders>
            <w:vAlign w:val="center"/>
          </w:tcPr>
          <w:p w14:paraId="0FAE5EAA">
            <w:pPr>
              <w:widowControl/>
              <w:jc w:val="center"/>
              <w:rPr>
                <w:rFonts w:ascii="宋体" w:hAnsi="宋体" w:cs="宋体"/>
                <w:color w:val="auto"/>
                <w:kern w:val="0"/>
                <w:sz w:val="20"/>
                <w:szCs w:val="20"/>
              </w:rPr>
            </w:pPr>
            <w:r>
              <w:rPr>
                <w:rFonts w:ascii="宋体" w:hAnsi="宋体" w:cs="宋体"/>
                <w:color w:val="auto"/>
                <w:kern w:val="0"/>
                <w:sz w:val="20"/>
                <w:szCs w:val="20"/>
              </w:rPr>
              <w:t>社会效益</w:t>
            </w:r>
            <w:r>
              <w:rPr>
                <w:rFonts w:hint="eastAsia" w:ascii="宋体" w:hAnsi="宋体" w:cs="宋体"/>
                <w:color w:val="auto"/>
                <w:kern w:val="0"/>
                <w:sz w:val="20"/>
                <w:szCs w:val="20"/>
              </w:rPr>
              <w:t>指标</w:t>
            </w:r>
          </w:p>
        </w:tc>
        <w:tc>
          <w:tcPr>
            <w:tcW w:w="1098" w:type="pct"/>
            <w:tcBorders>
              <w:top w:val="single" w:color="auto" w:sz="4" w:space="0"/>
            </w:tcBorders>
            <w:vAlign w:val="center"/>
          </w:tcPr>
          <w:p w14:paraId="5E800B24">
            <w:pPr>
              <w:widowControl/>
              <w:jc w:val="center"/>
              <w:rPr>
                <w:rFonts w:ascii="宋体" w:hAnsi="宋体" w:cs="宋体"/>
                <w:color w:val="auto"/>
                <w:kern w:val="0"/>
                <w:sz w:val="20"/>
                <w:szCs w:val="20"/>
                <w:lang w:bidi="ar"/>
              </w:rPr>
            </w:pPr>
            <w:r>
              <w:rPr>
                <w:color w:val="auto"/>
                <w:kern w:val="0"/>
                <w:sz w:val="20"/>
                <w:szCs w:val="20"/>
                <w:lang w:bidi="ar"/>
              </w:rPr>
              <w:t>深入推进广播电视和网络视听在信息内容、技术应用、平台终端、管理手段的共融互通，推进媒体融合向纵深发展</w:t>
            </w:r>
          </w:p>
        </w:tc>
        <w:tc>
          <w:tcPr>
            <w:tcW w:w="1654" w:type="pct"/>
            <w:tcBorders>
              <w:top w:val="single" w:color="auto" w:sz="4" w:space="0"/>
            </w:tcBorders>
            <w:vAlign w:val="center"/>
          </w:tcPr>
          <w:p w14:paraId="66293B0D">
            <w:pPr>
              <w:widowControl/>
              <w:jc w:val="center"/>
              <w:rPr>
                <w:rFonts w:ascii="宋体" w:hAnsi="宋体" w:cs="宋体"/>
                <w:color w:val="auto"/>
                <w:kern w:val="0"/>
                <w:sz w:val="20"/>
                <w:szCs w:val="20"/>
              </w:rPr>
            </w:pPr>
            <w:r>
              <w:rPr>
                <w:rFonts w:hint="eastAsia" w:ascii="宋体" w:hAnsi="宋体" w:cs="宋体"/>
                <w:color w:val="auto"/>
                <w:kern w:val="0"/>
                <w:sz w:val="20"/>
                <w:szCs w:val="20"/>
              </w:rPr>
              <w:t>深化广播电视和网络视听在信息内容、技术应用、平台终端、管理手段的共融互通，加快推进媒体深度融合，构建新型全媒体传播体系。</w:t>
            </w:r>
          </w:p>
        </w:tc>
        <w:tc>
          <w:tcPr>
            <w:tcW w:w="415" w:type="pct"/>
            <w:tcBorders>
              <w:top w:val="single" w:color="auto" w:sz="4" w:space="0"/>
            </w:tcBorders>
            <w:noWrap/>
            <w:vAlign w:val="center"/>
          </w:tcPr>
          <w:p w14:paraId="18B06505">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3</w:t>
            </w:r>
          </w:p>
        </w:tc>
        <w:tc>
          <w:tcPr>
            <w:tcW w:w="442" w:type="pct"/>
            <w:tcBorders>
              <w:top w:val="single" w:color="auto" w:sz="4" w:space="0"/>
            </w:tcBorders>
            <w:noWrap/>
            <w:vAlign w:val="center"/>
          </w:tcPr>
          <w:p w14:paraId="2E887A41">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2.9</w:t>
            </w:r>
          </w:p>
        </w:tc>
      </w:tr>
      <w:tr w14:paraId="5B80F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8" w:hRule="atLeast"/>
          <w:jc w:val="center"/>
        </w:trPr>
        <w:tc>
          <w:tcPr>
            <w:tcW w:w="313" w:type="pct"/>
            <w:vMerge w:val="continue"/>
            <w:tcBorders>
              <w:left w:val="single" w:color="auto" w:sz="4" w:space="0"/>
              <w:right w:val="single" w:color="auto" w:sz="4" w:space="0"/>
            </w:tcBorders>
            <w:vAlign w:val="center"/>
          </w:tcPr>
          <w:p w14:paraId="2D4C833B">
            <w:pPr>
              <w:widowControl/>
              <w:jc w:val="left"/>
              <w:rPr>
                <w:rFonts w:ascii="宋体" w:hAnsi="宋体" w:cs="宋体"/>
                <w:color w:val="auto"/>
                <w:kern w:val="0"/>
                <w:sz w:val="20"/>
                <w:szCs w:val="20"/>
              </w:rPr>
            </w:pPr>
          </w:p>
        </w:tc>
        <w:tc>
          <w:tcPr>
            <w:tcW w:w="453" w:type="pct"/>
            <w:vMerge w:val="continue"/>
            <w:vAlign w:val="center"/>
          </w:tcPr>
          <w:p w14:paraId="5D3371E4">
            <w:pPr>
              <w:widowControl/>
              <w:rPr>
                <w:rFonts w:ascii="宋体" w:hAnsi="宋体" w:cs="宋体"/>
                <w:color w:val="auto"/>
                <w:kern w:val="0"/>
                <w:sz w:val="20"/>
                <w:szCs w:val="20"/>
              </w:rPr>
            </w:pPr>
          </w:p>
        </w:tc>
        <w:tc>
          <w:tcPr>
            <w:tcW w:w="621" w:type="pct"/>
            <w:vMerge w:val="continue"/>
            <w:vAlign w:val="center"/>
          </w:tcPr>
          <w:p w14:paraId="2B785D87">
            <w:pPr>
              <w:widowControl/>
              <w:jc w:val="center"/>
              <w:rPr>
                <w:rFonts w:ascii="宋体" w:hAnsi="宋体" w:cs="宋体"/>
                <w:color w:val="auto"/>
                <w:kern w:val="0"/>
                <w:sz w:val="20"/>
                <w:szCs w:val="20"/>
              </w:rPr>
            </w:pPr>
          </w:p>
        </w:tc>
        <w:tc>
          <w:tcPr>
            <w:tcW w:w="1098" w:type="pct"/>
            <w:vAlign w:val="center"/>
          </w:tcPr>
          <w:p w14:paraId="37C197DA">
            <w:pPr>
              <w:widowControl/>
              <w:jc w:val="center"/>
              <w:rPr>
                <w:rFonts w:ascii="宋体" w:hAnsi="宋体" w:cs="宋体"/>
                <w:color w:val="auto"/>
                <w:kern w:val="0"/>
                <w:sz w:val="20"/>
                <w:szCs w:val="20"/>
                <w:lang w:bidi="ar"/>
              </w:rPr>
            </w:pPr>
            <w:r>
              <w:rPr>
                <w:color w:val="auto"/>
                <w:kern w:val="0"/>
                <w:sz w:val="20"/>
                <w:szCs w:val="20"/>
                <w:lang w:bidi="ar"/>
              </w:rPr>
              <w:t>推动北京市精品创作高质量发展，丰富人民群众美好精神文化生活</w:t>
            </w:r>
          </w:p>
        </w:tc>
        <w:tc>
          <w:tcPr>
            <w:tcW w:w="1654" w:type="pct"/>
            <w:vAlign w:val="center"/>
          </w:tcPr>
          <w:p w14:paraId="302832CA">
            <w:pPr>
              <w:widowControl/>
              <w:jc w:val="center"/>
              <w:rPr>
                <w:rFonts w:ascii="宋体" w:hAnsi="宋体" w:cs="宋体"/>
                <w:color w:val="auto"/>
                <w:kern w:val="0"/>
                <w:sz w:val="20"/>
                <w:szCs w:val="20"/>
              </w:rPr>
            </w:pPr>
            <w:r>
              <w:rPr>
                <w:rFonts w:hint="eastAsia" w:ascii="宋体" w:hAnsi="宋体" w:cs="宋体"/>
                <w:color w:val="auto"/>
                <w:kern w:val="0"/>
                <w:sz w:val="20"/>
                <w:szCs w:val="20"/>
              </w:rPr>
              <w:t>坚持以人民为中心的创作导向，坚持重大题材和多样化题材相结合，加强视听文艺精品创作，推动了各领域优秀作品涌现。</w:t>
            </w:r>
          </w:p>
        </w:tc>
        <w:tc>
          <w:tcPr>
            <w:tcW w:w="415" w:type="pct"/>
            <w:noWrap/>
            <w:vAlign w:val="center"/>
          </w:tcPr>
          <w:p w14:paraId="3CBB5CED">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4</w:t>
            </w:r>
          </w:p>
        </w:tc>
        <w:tc>
          <w:tcPr>
            <w:tcW w:w="442" w:type="pct"/>
            <w:noWrap/>
            <w:vAlign w:val="center"/>
          </w:tcPr>
          <w:p w14:paraId="66C8EB94">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3.9</w:t>
            </w:r>
          </w:p>
        </w:tc>
      </w:tr>
      <w:tr w14:paraId="59C76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1" w:hRule="atLeast"/>
          <w:jc w:val="center"/>
        </w:trPr>
        <w:tc>
          <w:tcPr>
            <w:tcW w:w="313" w:type="pct"/>
            <w:vMerge w:val="continue"/>
            <w:tcBorders>
              <w:left w:val="single" w:color="auto" w:sz="4" w:space="0"/>
              <w:right w:val="single" w:color="auto" w:sz="4" w:space="0"/>
            </w:tcBorders>
            <w:vAlign w:val="center"/>
          </w:tcPr>
          <w:p w14:paraId="79F164CF">
            <w:pPr>
              <w:widowControl/>
              <w:jc w:val="left"/>
              <w:rPr>
                <w:rFonts w:ascii="宋体" w:hAnsi="宋体" w:cs="宋体"/>
                <w:color w:val="auto"/>
                <w:kern w:val="0"/>
                <w:sz w:val="20"/>
                <w:szCs w:val="20"/>
              </w:rPr>
            </w:pPr>
          </w:p>
        </w:tc>
        <w:tc>
          <w:tcPr>
            <w:tcW w:w="453" w:type="pct"/>
            <w:vMerge w:val="continue"/>
            <w:vAlign w:val="center"/>
          </w:tcPr>
          <w:p w14:paraId="791FD464">
            <w:pPr>
              <w:widowControl/>
              <w:rPr>
                <w:rFonts w:ascii="宋体" w:hAnsi="宋体" w:cs="宋体"/>
                <w:color w:val="auto"/>
                <w:kern w:val="0"/>
                <w:sz w:val="20"/>
                <w:szCs w:val="20"/>
              </w:rPr>
            </w:pPr>
          </w:p>
        </w:tc>
        <w:tc>
          <w:tcPr>
            <w:tcW w:w="621" w:type="pct"/>
            <w:vMerge w:val="continue"/>
            <w:vAlign w:val="center"/>
          </w:tcPr>
          <w:p w14:paraId="47961A17">
            <w:pPr>
              <w:widowControl/>
              <w:jc w:val="center"/>
              <w:rPr>
                <w:rFonts w:ascii="宋体" w:hAnsi="宋体" w:cs="宋体"/>
                <w:color w:val="auto"/>
                <w:kern w:val="0"/>
                <w:sz w:val="20"/>
                <w:szCs w:val="20"/>
              </w:rPr>
            </w:pPr>
          </w:p>
        </w:tc>
        <w:tc>
          <w:tcPr>
            <w:tcW w:w="1098" w:type="pct"/>
            <w:vAlign w:val="center"/>
          </w:tcPr>
          <w:p w14:paraId="395EAAB3">
            <w:pPr>
              <w:widowControl/>
              <w:jc w:val="center"/>
              <w:rPr>
                <w:rFonts w:ascii="宋体" w:hAnsi="宋体" w:cs="宋体"/>
                <w:color w:val="auto"/>
                <w:kern w:val="0"/>
                <w:sz w:val="20"/>
                <w:szCs w:val="20"/>
                <w:lang w:bidi="ar"/>
              </w:rPr>
            </w:pPr>
            <w:r>
              <w:rPr>
                <w:color w:val="auto"/>
                <w:kern w:val="0"/>
                <w:sz w:val="20"/>
                <w:szCs w:val="20"/>
                <w:lang w:bidi="ar"/>
              </w:rPr>
              <w:t>搭建国际交流合作平台，促进广播电视和网络视听领域创新技术和优秀作品的国际推广，提升北京大视听国际化水平</w:t>
            </w:r>
          </w:p>
        </w:tc>
        <w:tc>
          <w:tcPr>
            <w:tcW w:w="1654" w:type="pct"/>
            <w:vAlign w:val="center"/>
          </w:tcPr>
          <w:p w14:paraId="7E57A286">
            <w:pPr>
              <w:widowControl/>
              <w:jc w:val="center"/>
              <w:rPr>
                <w:rFonts w:ascii="宋体" w:hAnsi="宋体" w:cs="宋体"/>
                <w:color w:val="auto"/>
                <w:kern w:val="0"/>
                <w:sz w:val="20"/>
                <w:szCs w:val="20"/>
              </w:rPr>
            </w:pPr>
            <w:r>
              <w:rPr>
                <w:rFonts w:hint="eastAsia" w:ascii="宋体" w:hAnsi="宋体" w:cs="宋体"/>
                <w:color w:val="auto"/>
                <w:kern w:val="0"/>
                <w:sz w:val="20"/>
                <w:szCs w:val="20"/>
              </w:rPr>
              <w:t>以专项资金奖励扶持和举办国际交流活动的方式，搭建国际交流合作平台，从内容和科技两个方面推进新视听“走出去”，提升北京广播电视产业国际影响力。</w:t>
            </w:r>
          </w:p>
        </w:tc>
        <w:tc>
          <w:tcPr>
            <w:tcW w:w="415" w:type="pct"/>
            <w:noWrap/>
            <w:vAlign w:val="center"/>
          </w:tcPr>
          <w:p w14:paraId="1628085B">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3</w:t>
            </w:r>
          </w:p>
        </w:tc>
        <w:tc>
          <w:tcPr>
            <w:tcW w:w="442" w:type="pct"/>
            <w:noWrap/>
            <w:vAlign w:val="center"/>
          </w:tcPr>
          <w:p w14:paraId="1336ACA5">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2.9</w:t>
            </w:r>
          </w:p>
        </w:tc>
      </w:tr>
      <w:tr w14:paraId="0FF08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13" w:type="pct"/>
            <w:vMerge w:val="continue"/>
            <w:tcBorders>
              <w:left w:val="single" w:color="auto" w:sz="4" w:space="0"/>
              <w:right w:val="single" w:color="auto" w:sz="4" w:space="0"/>
            </w:tcBorders>
            <w:vAlign w:val="center"/>
          </w:tcPr>
          <w:p w14:paraId="7DCEE916">
            <w:pPr>
              <w:widowControl/>
              <w:jc w:val="center"/>
              <w:rPr>
                <w:rFonts w:ascii="宋体" w:hAnsi="宋体" w:cs="宋体"/>
                <w:color w:val="auto"/>
                <w:kern w:val="0"/>
                <w:sz w:val="20"/>
                <w:szCs w:val="20"/>
              </w:rPr>
            </w:pPr>
          </w:p>
        </w:tc>
        <w:tc>
          <w:tcPr>
            <w:tcW w:w="453" w:type="pct"/>
            <w:vMerge w:val="continue"/>
            <w:vAlign w:val="center"/>
          </w:tcPr>
          <w:p w14:paraId="00B483D3">
            <w:pPr>
              <w:widowControl/>
              <w:jc w:val="center"/>
              <w:rPr>
                <w:rFonts w:ascii="宋体" w:hAnsi="宋体" w:cs="宋体"/>
                <w:color w:val="auto"/>
                <w:kern w:val="0"/>
                <w:sz w:val="20"/>
                <w:szCs w:val="20"/>
              </w:rPr>
            </w:pPr>
          </w:p>
        </w:tc>
        <w:tc>
          <w:tcPr>
            <w:tcW w:w="621" w:type="pct"/>
            <w:vMerge w:val="continue"/>
            <w:vAlign w:val="center"/>
          </w:tcPr>
          <w:p w14:paraId="57508CB3">
            <w:pPr>
              <w:widowControl/>
              <w:jc w:val="center"/>
              <w:rPr>
                <w:rFonts w:ascii="宋体" w:hAnsi="宋体" w:cs="宋体"/>
                <w:color w:val="auto"/>
                <w:kern w:val="0"/>
                <w:sz w:val="20"/>
                <w:szCs w:val="20"/>
              </w:rPr>
            </w:pPr>
          </w:p>
        </w:tc>
        <w:tc>
          <w:tcPr>
            <w:tcW w:w="1098" w:type="pct"/>
            <w:vAlign w:val="center"/>
          </w:tcPr>
          <w:p w14:paraId="7C275BB7">
            <w:pPr>
              <w:widowControl/>
              <w:jc w:val="center"/>
              <w:rPr>
                <w:rFonts w:ascii="宋体" w:hAnsi="宋体" w:cs="宋体"/>
                <w:color w:val="auto"/>
                <w:kern w:val="0"/>
                <w:sz w:val="20"/>
                <w:szCs w:val="20"/>
                <w:lang w:bidi="ar"/>
              </w:rPr>
            </w:pPr>
            <w:r>
              <w:rPr>
                <w:color w:val="auto"/>
                <w:kern w:val="0"/>
                <w:sz w:val="20"/>
                <w:szCs w:val="20"/>
                <w:lang w:bidi="ar"/>
              </w:rPr>
              <w:t>创新人才发展体制机制，全方位培养、引进、用好人才，努力建设一支规模宏大、结构合理、素质优良的广播电视和网络视听人才队伍</w:t>
            </w:r>
          </w:p>
        </w:tc>
        <w:tc>
          <w:tcPr>
            <w:tcW w:w="1654" w:type="pct"/>
            <w:vAlign w:val="center"/>
          </w:tcPr>
          <w:p w14:paraId="0B9E9BB0">
            <w:pPr>
              <w:widowControl/>
              <w:jc w:val="center"/>
              <w:rPr>
                <w:rFonts w:ascii="宋体" w:hAnsi="宋体" w:cs="宋体"/>
                <w:color w:val="auto"/>
                <w:kern w:val="0"/>
                <w:sz w:val="20"/>
                <w:szCs w:val="20"/>
              </w:rPr>
            </w:pPr>
            <w:r>
              <w:rPr>
                <w:rFonts w:hint="eastAsia" w:ascii="宋体" w:hAnsi="宋体" w:cs="宋体"/>
                <w:color w:val="auto"/>
                <w:kern w:val="0"/>
                <w:sz w:val="20"/>
                <w:szCs w:val="20"/>
              </w:rPr>
              <w:t>全力抓好视听行业人才队伍建设，实施北京大视听“京琅琊”人才战略，创新人才引进、培养、使用、评价、激励机制，最大限度激发和释放人才创新活力</w:t>
            </w:r>
            <w:r>
              <w:rPr>
                <w:rFonts w:hint="eastAsia"/>
                <w:color w:val="auto"/>
              </w:rPr>
              <w:t>。</w:t>
            </w:r>
          </w:p>
        </w:tc>
        <w:tc>
          <w:tcPr>
            <w:tcW w:w="415" w:type="pct"/>
            <w:noWrap/>
            <w:vAlign w:val="center"/>
          </w:tcPr>
          <w:p w14:paraId="54374A87">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3</w:t>
            </w:r>
          </w:p>
        </w:tc>
        <w:tc>
          <w:tcPr>
            <w:tcW w:w="442" w:type="pct"/>
            <w:noWrap/>
            <w:vAlign w:val="center"/>
          </w:tcPr>
          <w:p w14:paraId="31BDE978">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2.9</w:t>
            </w:r>
          </w:p>
        </w:tc>
      </w:tr>
      <w:tr w14:paraId="475A3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4" w:hRule="atLeast"/>
          <w:jc w:val="center"/>
        </w:trPr>
        <w:tc>
          <w:tcPr>
            <w:tcW w:w="313" w:type="pct"/>
            <w:vMerge w:val="continue"/>
            <w:tcBorders>
              <w:left w:val="single" w:color="auto" w:sz="4" w:space="0"/>
              <w:right w:val="single" w:color="auto" w:sz="4" w:space="0"/>
            </w:tcBorders>
            <w:vAlign w:val="center"/>
          </w:tcPr>
          <w:p w14:paraId="353EF72A">
            <w:pPr>
              <w:widowControl/>
              <w:jc w:val="left"/>
              <w:rPr>
                <w:rFonts w:ascii="宋体" w:hAnsi="宋体" w:cs="宋体"/>
                <w:color w:val="auto"/>
                <w:kern w:val="0"/>
                <w:sz w:val="20"/>
                <w:szCs w:val="20"/>
              </w:rPr>
            </w:pPr>
          </w:p>
        </w:tc>
        <w:tc>
          <w:tcPr>
            <w:tcW w:w="453" w:type="pct"/>
            <w:vMerge w:val="continue"/>
            <w:vAlign w:val="center"/>
          </w:tcPr>
          <w:p w14:paraId="02568AAF">
            <w:pPr>
              <w:widowControl/>
              <w:jc w:val="center"/>
              <w:rPr>
                <w:rFonts w:ascii="宋体" w:hAnsi="宋体" w:cs="宋体"/>
                <w:color w:val="auto"/>
                <w:kern w:val="0"/>
                <w:sz w:val="20"/>
                <w:szCs w:val="20"/>
              </w:rPr>
            </w:pPr>
          </w:p>
        </w:tc>
        <w:tc>
          <w:tcPr>
            <w:tcW w:w="621" w:type="pct"/>
            <w:vMerge w:val="continue"/>
            <w:vAlign w:val="center"/>
          </w:tcPr>
          <w:p w14:paraId="72B1978B">
            <w:pPr>
              <w:widowControl/>
              <w:jc w:val="center"/>
              <w:rPr>
                <w:rFonts w:ascii="宋体" w:hAnsi="宋体" w:cs="宋体"/>
                <w:color w:val="auto"/>
                <w:kern w:val="0"/>
                <w:sz w:val="20"/>
                <w:szCs w:val="20"/>
              </w:rPr>
            </w:pPr>
          </w:p>
        </w:tc>
        <w:tc>
          <w:tcPr>
            <w:tcW w:w="1098" w:type="pct"/>
            <w:vAlign w:val="center"/>
          </w:tcPr>
          <w:p w14:paraId="296B61AF">
            <w:pPr>
              <w:widowControl/>
              <w:jc w:val="center"/>
              <w:rPr>
                <w:rFonts w:ascii="宋体" w:hAnsi="宋体" w:cs="宋体"/>
                <w:color w:val="auto"/>
                <w:kern w:val="0"/>
                <w:sz w:val="20"/>
                <w:szCs w:val="20"/>
                <w:lang w:bidi="ar"/>
              </w:rPr>
            </w:pPr>
            <w:r>
              <w:rPr>
                <w:color w:val="auto"/>
                <w:kern w:val="0"/>
                <w:sz w:val="20"/>
                <w:szCs w:val="20"/>
                <w:lang w:bidi="ar"/>
              </w:rPr>
              <w:t>坚持规划引领，激发行业创新发展活力，促进北京视听产业优势资源集聚，推动北京新视听产业高质量发展</w:t>
            </w:r>
          </w:p>
        </w:tc>
        <w:tc>
          <w:tcPr>
            <w:tcW w:w="1654" w:type="pct"/>
            <w:vAlign w:val="center"/>
          </w:tcPr>
          <w:p w14:paraId="056F8046">
            <w:pPr>
              <w:widowControl/>
              <w:jc w:val="center"/>
              <w:rPr>
                <w:rFonts w:ascii="宋体" w:hAnsi="宋体" w:cs="宋体"/>
                <w:color w:val="auto"/>
                <w:kern w:val="0"/>
                <w:sz w:val="20"/>
                <w:szCs w:val="20"/>
              </w:rPr>
            </w:pPr>
            <w:r>
              <w:rPr>
                <w:rFonts w:hint="eastAsia" w:ascii="宋体" w:hAnsi="宋体" w:cs="宋体"/>
                <w:color w:val="auto"/>
                <w:kern w:val="0"/>
                <w:sz w:val="20"/>
                <w:szCs w:val="20"/>
              </w:rPr>
              <w:t>优化营商环境，聚集首都广播电视和网络视听资源，为北京视听领域搭建产业成果集成的权威平台，推动广播电视网络视听产业升级</w:t>
            </w:r>
            <w:r>
              <w:rPr>
                <w:rFonts w:hint="eastAsia"/>
                <w:color w:val="auto"/>
              </w:rPr>
              <w:t>。</w:t>
            </w:r>
          </w:p>
        </w:tc>
        <w:tc>
          <w:tcPr>
            <w:tcW w:w="415" w:type="pct"/>
            <w:noWrap/>
            <w:vAlign w:val="center"/>
          </w:tcPr>
          <w:p w14:paraId="481C7B37">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3</w:t>
            </w:r>
          </w:p>
        </w:tc>
        <w:tc>
          <w:tcPr>
            <w:tcW w:w="442" w:type="pct"/>
            <w:noWrap/>
            <w:vAlign w:val="center"/>
          </w:tcPr>
          <w:p w14:paraId="19C00508">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2.9</w:t>
            </w:r>
          </w:p>
        </w:tc>
      </w:tr>
      <w:tr w14:paraId="7940B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7" w:hRule="atLeast"/>
          <w:jc w:val="center"/>
        </w:trPr>
        <w:tc>
          <w:tcPr>
            <w:tcW w:w="313" w:type="pct"/>
            <w:vMerge w:val="restart"/>
            <w:vAlign w:val="center"/>
          </w:tcPr>
          <w:p w14:paraId="055F7E14">
            <w:pPr>
              <w:widowControl/>
              <w:jc w:val="center"/>
              <w:rPr>
                <w:rFonts w:ascii="宋体" w:hAnsi="宋体" w:cs="宋体"/>
                <w:color w:val="auto"/>
                <w:kern w:val="0"/>
                <w:sz w:val="20"/>
                <w:szCs w:val="20"/>
              </w:rPr>
            </w:pPr>
            <w:r>
              <w:rPr>
                <w:rFonts w:hint="eastAsia" w:ascii="宋体" w:hAnsi="宋体" w:cs="宋体"/>
                <w:color w:val="auto"/>
                <w:kern w:val="0"/>
                <w:sz w:val="20"/>
                <w:szCs w:val="20"/>
              </w:rPr>
              <w:t>续上页</w:t>
            </w:r>
          </w:p>
        </w:tc>
        <w:tc>
          <w:tcPr>
            <w:tcW w:w="453" w:type="pct"/>
            <w:vMerge w:val="restart"/>
            <w:vAlign w:val="center"/>
          </w:tcPr>
          <w:p w14:paraId="1F1174DB">
            <w:pPr>
              <w:widowControl/>
              <w:jc w:val="center"/>
              <w:rPr>
                <w:rFonts w:ascii="宋体" w:hAnsi="宋体" w:cs="宋体"/>
                <w:color w:val="auto"/>
                <w:kern w:val="0"/>
                <w:sz w:val="20"/>
                <w:szCs w:val="20"/>
              </w:rPr>
            </w:pPr>
            <w:r>
              <w:rPr>
                <w:rFonts w:hint="eastAsia" w:ascii="宋体" w:hAnsi="宋体" w:cs="宋体"/>
                <w:color w:val="auto"/>
                <w:kern w:val="0"/>
                <w:sz w:val="20"/>
                <w:szCs w:val="20"/>
              </w:rPr>
              <w:t>续上页</w:t>
            </w:r>
          </w:p>
        </w:tc>
        <w:tc>
          <w:tcPr>
            <w:tcW w:w="621" w:type="pct"/>
            <w:vMerge w:val="restart"/>
            <w:vAlign w:val="center"/>
          </w:tcPr>
          <w:p w14:paraId="576E7644">
            <w:pPr>
              <w:widowControl/>
              <w:jc w:val="center"/>
              <w:rPr>
                <w:rFonts w:ascii="宋体" w:hAnsi="宋体" w:cs="宋体"/>
                <w:color w:val="auto"/>
                <w:kern w:val="0"/>
                <w:sz w:val="20"/>
                <w:szCs w:val="20"/>
              </w:rPr>
            </w:pPr>
            <w:r>
              <w:rPr>
                <w:rFonts w:hint="eastAsia" w:ascii="宋体" w:hAnsi="宋体" w:cs="宋体"/>
                <w:color w:val="auto"/>
                <w:kern w:val="0"/>
                <w:sz w:val="20"/>
                <w:szCs w:val="20"/>
              </w:rPr>
              <w:t>续上页</w:t>
            </w:r>
          </w:p>
        </w:tc>
        <w:tc>
          <w:tcPr>
            <w:tcW w:w="1098" w:type="pct"/>
            <w:vAlign w:val="center"/>
          </w:tcPr>
          <w:p w14:paraId="39A98747">
            <w:pPr>
              <w:widowControl/>
              <w:jc w:val="center"/>
              <w:rPr>
                <w:rFonts w:ascii="宋体" w:hAnsi="宋体" w:cs="宋体"/>
                <w:color w:val="auto"/>
                <w:kern w:val="0"/>
                <w:sz w:val="20"/>
                <w:szCs w:val="20"/>
                <w:lang w:bidi="ar"/>
              </w:rPr>
            </w:pPr>
            <w:r>
              <w:rPr>
                <w:color w:val="auto"/>
                <w:kern w:val="0"/>
                <w:sz w:val="20"/>
                <w:szCs w:val="20"/>
                <w:lang w:bidi="ar"/>
              </w:rPr>
              <w:t>有效提升广播电视覆盖质量，保障广大人民群众收听广播、观看电视等基本文化权益，促进基本公共文化服务标准化、均等化</w:t>
            </w:r>
          </w:p>
        </w:tc>
        <w:tc>
          <w:tcPr>
            <w:tcW w:w="1654" w:type="pct"/>
            <w:vAlign w:val="center"/>
          </w:tcPr>
          <w:p w14:paraId="45DE103F">
            <w:pPr>
              <w:widowControl/>
              <w:jc w:val="center"/>
              <w:rPr>
                <w:rFonts w:ascii="宋体" w:hAnsi="宋体" w:cs="宋体"/>
                <w:color w:val="auto"/>
                <w:kern w:val="0"/>
                <w:sz w:val="20"/>
                <w:szCs w:val="20"/>
              </w:rPr>
            </w:pPr>
            <w:r>
              <w:rPr>
                <w:rFonts w:hint="eastAsia" w:ascii="宋体" w:hAnsi="宋体" w:cs="宋体"/>
                <w:color w:val="auto"/>
                <w:kern w:val="0"/>
                <w:sz w:val="20"/>
                <w:szCs w:val="20"/>
              </w:rPr>
              <w:t>推进应急广播市级平台建设，保证基础设施安全平稳运行，着力提升公共服务标准化、均等化、数字化、优质化、品牌化水平。</w:t>
            </w:r>
          </w:p>
        </w:tc>
        <w:tc>
          <w:tcPr>
            <w:tcW w:w="415" w:type="pct"/>
            <w:noWrap/>
            <w:vAlign w:val="center"/>
          </w:tcPr>
          <w:p w14:paraId="3E9D7612">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3</w:t>
            </w:r>
          </w:p>
        </w:tc>
        <w:tc>
          <w:tcPr>
            <w:tcW w:w="442" w:type="pct"/>
            <w:noWrap/>
            <w:vAlign w:val="center"/>
          </w:tcPr>
          <w:p w14:paraId="274CC86D">
            <w:pPr>
              <w:widowControl/>
              <w:jc w:val="center"/>
              <w:textAlignment w:val="center"/>
              <w:rPr>
                <w:rFonts w:ascii="宋体" w:hAnsi="宋体" w:cs="宋体"/>
                <w:color w:val="auto"/>
                <w:kern w:val="0"/>
                <w:sz w:val="20"/>
                <w:szCs w:val="20"/>
                <w:lang w:bidi="ar"/>
              </w:rPr>
            </w:pPr>
            <w:r>
              <w:rPr>
                <w:rFonts w:hint="eastAsia" w:ascii="宋体" w:hAnsi="宋体" w:cs="宋体"/>
                <w:color w:val="auto"/>
                <w:kern w:val="0"/>
                <w:sz w:val="20"/>
                <w:szCs w:val="20"/>
                <w:lang w:bidi="ar"/>
              </w:rPr>
              <w:t>2.9</w:t>
            </w:r>
          </w:p>
        </w:tc>
      </w:tr>
      <w:tr w14:paraId="63591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jc w:val="center"/>
        </w:trPr>
        <w:tc>
          <w:tcPr>
            <w:tcW w:w="313" w:type="pct"/>
            <w:vMerge w:val="continue"/>
            <w:vAlign w:val="center"/>
          </w:tcPr>
          <w:p w14:paraId="55478257">
            <w:pPr>
              <w:widowControl/>
              <w:jc w:val="left"/>
              <w:rPr>
                <w:rFonts w:ascii="宋体" w:hAnsi="宋体" w:cs="宋体"/>
                <w:color w:val="auto"/>
                <w:kern w:val="0"/>
                <w:sz w:val="20"/>
                <w:szCs w:val="20"/>
              </w:rPr>
            </w:pPr>
          </w:p>
        </w:tc>
        <w:tc>
          <w:tcPr>
            <w:tcW w:w="453" w:type="pct"/>
            <w:vMerge w:val="continue"/>
            <w:vAlign w:val="center"/>
          </w:tcPr>
          <w:p w14:paraId="2434BF1B">
            <w:pPr>
              <w:widowControl/>
              <w:jc w:val="center"/>
              <w:rPr>
                <w:rFonts w:ascii="宋体" w:hAnsi="宋体" w:cs="宋体"/>
                <w:color w:val="auto"/>
                <w:kern w:val="0"/>
                <w:sz w:val="20"/>
                <w:szCs w:val="20"/>
              </w:rPr>
            </w:pPr>
          </w:p>
        </w:tc>
        <w:tc>
          <w:tcPr>
            <w:tcW w:w="621" w:type="pct"/>
            <w:vMerge w:val="continue"/>
            <w:vAlign w:val="center"/>
          </w:tcPr>
          <w:p w14:paraId="13613E90">
            <w:pPr>
              <w:widowControl/>
              <w:jc w:val="center"/>
              <w:rPr>
                <w:rFonts w:ascii="宋体" w:hAnsi="宋体" w:cs="宋体"/>
                <w:color w:val="auto"/>
                <w:kern w:val="0"/>
                <w:sz w:val="20"/>
                <w:szCs w:val="20"/>
              </w:rPr>
            </w:pPr>
          </w:p>
        </w:tc>
        <w:tc>
          <w:tcPr>
            <w:tcW w:w="1098" w:type="pct"/>
            <w:vAlign w:val="center"/>
          </w:tcPr>
          <w:p w14:paraId="4292FE2A">
            <w:pPr>
              <w:widowControl/>
              <w:jc w:val="center"/>
              <w:rPr>
                <w:rFonts w:ascii="宋体" w:hAnsi="宋体" w:cs="宋体"/>
                <w:color w:val="auto"/>
                <w:kern w:val="0"/>
                <w:sz w:val="20"/>
                <w:szCs w:val="20"/>
                <w:lang w:bidi="ar"/>
              </w:rPr>
            </w:pPr>
            <w:r>
              <w:rPr>
                <w:color w:val="auto"/>
                <w:kern w:val="0"/>
                <w:sz w:val="20"/>
                <w:szCs w:val="20"/>
                <w:lang w:bidi="ar"/>
              </w:rPr>
              <w:t>打通视听领域公共服务最后一公里，不断增强群众的文化获得感、幸福感、参与感，推动广电公共服务效能与文化消费水平双提升</w:t>
            </w:r>
          </w:p>
        </w:tc>
        <w:tc>
          <w:tcPr>
            <w:tcW w:w="1654" w:type="pct"/>
            <w:vAlign w:val="center"/>
          </w:tcPr>
          <w:p w14:paraId="59D96AD1">
            <w:pPr>
              <w:widowControl/>
              <w:jc w:val="center"/>
              <w:rPr>
                <w:rFonts w:ascii="宋体" w:hAnsi="宋体" w:cs="宋体"/>
                <w:color w:val="auto"/>
                <w:kern w:val="0"/>
                <w:sz w:val="20"/>
                <w:szCs w:val="20"/>
              </w:rPr>
            </w:pPr>
            <w:r>
              <w:rPr>
                <w:rFonts w:hint="eastAsia" w:ascii="宋体" w:hAnsi="宋体" w:cs="宋体"/>
                <w:color w:val="auto"/>
                <w:kern w:val="0"/>
                <w:sz w:val="20"/>
                <w:szCs w:val="20"/>
              </w:rPr>
              <w:t>深化科技赋能公共服务，使超高清视听、裸眼3D、虚拟场景等新一代视听技术更深层次惠及人民群众，不断增强群众的文化获得感、幸福感、参与感。</w:t>
            </w:r>
          </w:p>
        </w:tc>
        <w:tc>
          <w:tcPr>
            <w:tcW w:w="415" w:type="pct"/>
            <w:noWrap/>
            <w:vAlign w:val="center"/>
          </w:tcPr>
          <w:p w14:paraId="2F1F6D34">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3</w:t>
            </w:r>
          </w:p>
        </w:tc>
        <w:tc>
          <w:tcPr>
            <w:tcW w:w="442" w:type="pct"/>
            <w:noWrap/>
            <w:vAlign w:val="center"/>
          </w:tcPr>
          <w:p w14:paraId="6F3C0E93">
            <w:pPr>
              <w:widowControl/>
              <w:jc w:val="center"/>
              <w:textAlignment w:val="center"/>
              <w:rPr>
                <w:rFonts w:ascii="宋体" w:hAnsi="宋体" w:cs="宋体"/>
                <w:color w:val="auto"/>
                <w:kern w:val="0"/>
                <w:sz w:val="20"/>
                <w:szCs w:val="20"/>
                <w:lang w:bidi="ar"/>
              </w:rPr>
            </w:pPr>
            <w:r>
              <w:rPr>
                <w:rFonts w:hint="eastAsia" w:ascii="宋体" w:hAnsi="宋体" w:cs="宋体"/>
                <w:color w:val="auto"/>
                <w:kern w:val="0"/>
                <w:sz w:val="20"/>
                <w:szCs w:val="20"/>
                <w:lang w:bidi="ar"/>
              </w:rPr>
              <w:t>2.9</w:t>
            </w:r>
          </w:p>
        </w:tc>
      </w:tr>
      <w:tr w14:paraId="61D17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jc w:val="center"/>
        </w:trPr>
        <w:tc>
          <w:tcPr>
            <w:tcW w:w="313" w:type="pct"/>
            <w:vMerge w:val="continue"/>
            <w:vAlign w:val="center"/>
          </w:tcPr>
          <w:p w14:paraId="6BEAA4EE">
            <w:pPr>
              <w:widowControl/>
              <w:jc w:val="center"/>
              <w:rPr>
                <w:rFonts w:ascii="宋体" w:hAnsi="宋体" w:cs="宋体"/>
                <w:color w:val="auto"/>
                <w:kern w:val="0"/>
                <w:sz w:val="20"/>
                <w:szCs w:val="20"/>
              </w:rPr>
            </w:pPr>
          </w:p>
        </w:tc>
        <w:tc>
          <w:tcPr>
            <w:tcW w:w="453" w:type="pct"/>
            <w:vMerge w:val="continue"/>
            <w:vAlign w:val="center"/>
          </w:tcPr>
          <w:p w14:paraId="57D27773">
            <w:pPr>
              <w:widowControl/>
              <w:jc w:val="center"/>
              <w:rPr>
                <w:rFonts w:ascii="宋体" w:hAnsi="宋体" w:cs="宋体"/>
                <w:color w:val="auto"/>
                <w:kern w:val="0"/>
                <w:sz w:val="20"/>
                <w:szCs w:val="20"/>
              </w:rPr>
            </w:pPr>
          </w:p>
        </w:tc>
        <w:tc>
          <w:tcPr>
            <w:tcW w:w="621" w:type="pct"/>
            <w:vMerge w:val="continue"/>
            <w:vAlign w:val="center"/>
          </w:tcPr>
          <w:p w14:paraId="60D92F2A">
            <w:pPr>
              <w:widowControl/>
              <w:jc w:val="center"/>
              <w:rPr>
                <w:rFonts w:ascii="宋体" w:hAnsi="宋体" w:cs="宋体"/>
                <w:color w:val="auto"/>
                <w:kern w:val="0"/>
                <w:sz w:val="20"/>
                <w:szCs w:val="20"/>
              </w:rPr>
            </w:pPr>
          </w:p>
        </w:tc>
        <w:tc>
          <w:tcPr>
            <w:tcW w:w="1098" w:type="pct"/>
            <w:vAlign w:val="center"/>
          </w:tcPr>
          <w:p w14:paraId="3E64E7C9">
            <w:pPr>
              <w:widowControl/>
              <w:jc w:val="center"/>
              <w:rPr>
                <w:rFonts w:ascii="宋体" w:hAnsi="宋体" w:cs="宋体"/>
                <w:color w:val="auto"/>
                <w:kern w:val="0"/>
                <w:sz w:val="20"/>
                <w:szCs w:val="20"/>
                <w:lang w:bidi="ar"/>
              </w:rPr>
            </w:pPr>
            <w:r>
              <w:rPr>
                <w:color w:val="auto"/>
                <w:kern w:val="0"/>
                <w:sz w:val="20"/>
                <w:szCs w:val="20"/>
                <w:lang w:bidi="ar"/>
              </w:rPr>
              <w:t>强化广播电视和网络视听科技领域技术支持，促进首都广播电视和网络视听科技资源集约化发展，激发科技应用创新活力，全面推动北京新视听文化与科技融合发展</w:t>
            </w:r>
          </w:p>
        </w:tc>
        <w:tc>
          <w:tcPr>
            <w:tcW w:w="1654" w:type="pct"/>
            <w:vAlign w:val="center"/>
          </w:tcPr>
          <w:p w14:paraId="6ED75DEB">
            <w:pPr>
              <w:widowControl/>
              <w:jc w:val="center"/>
              <w:rPr>
                <w:rFonts w:ascii="宋体" w:hAnsi="宋体" w:cs="宋体"/>
                <w:color w:val="auto"/>
                <w:kern w:val="0"/>
                <w:sz w:val="20"/>
                <w:szCs w:val="20"/>
              </w:rPr>
            </w:pPr>
            <w:r>
              <w:rPr>
                <w:rFonts w:hint="eastAsia" w:ascii="宋体" w:hAnsi="宋体" w:cs="宋体"/>
                <w:color w:val="auto"/>
                <w:kern w:val="0"/>
                <w:sz w:val="20"/>
                <w:szCs w:val="20"/>
              </w:rPr>
              <w:t>推动广播电视科技创新，引领技术进步，促进北京市超高清视听产业高质量发展，培育壮大广播电视和网络视听领域新质生产力。</w:t>
            </w:r>
          </w:p>
        </w:tc>
        <w:tc>
          <w:tcPr>
            <w:tcW w:w="415" w:type="pct"/>
            <w:noWrap/>
            <w:vAlign w:val="center"/>
          </w:tcPr>
          <w:p w14:paraId="53CBA0D6">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4</w:t>
            </w:r>
          </w:p>
        </w:tc>
        <w:tc>
          <w:tcPr>
            <w:tcW w:w="442" w:type="pct"/>
            <w:noWrap/>
            <w:vAlign w:val="center"/>
          </w:tcPr>
          <w:p w14:paraId="50B79940">
            <w:pPr>
              <w:widowControl/>
              <w:jc w:val="center"/>
              <w:textAlignment w:val="center"/>
              <w:rPr>
                <w:rFonts w:ascii="宋体" w:hAnsi="宋体" w:cs="宋体"/>
                <w:color w:val="auto"/>
                <w:kern w:val="0"/>
                <w:sz w:val="20"/>
                <w:szCs w:val="20"/>
                <w:lang w:bidi="ar"/>
              </w:rPr>
            </w:pPr>
            <w:r>
              <w:rPr>
                <w:rFonts w:hint="eastAsia" w:ascii="宋体" w:hAnsi="宋体" w:cs="宋体"/>
                <w:color w:val="auto"/>
                <w:kern w:val="0"/>
                <w:sz w:val="20"/>
                <w:szCs w:val="20"/>
                <w:lang w:bidi="ar"/>
              </w:rPr>
              <w:t>4</w:t>
            </w:r>
          </w:p>
        </w:tc>
      </w:tr>
      <w:tr w14:paraId="08B03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82" w:hRule="atLeast"/>
          <w:jc w:val="center"/>
        </w:trPr>
        <w:tc>
          <w:tcPr>
            <w:tcW w:w="313" w:type="pct"/>
            <w:vMerge w:val="continue"/>
            <w:vAlign w:val="center"/>
          </w:tcPr>
          <w:p w14:paraId="326CD956">
            <w:pPr>
              <w:widowControl/>
              <w:jc w:val="left"/>
              <w:rPr>
                <w:rFonts w:ascii="宋体" w:hAnsi="宋体" w:cs="宋体"/>
                <w:color w:val="auto"/>
                <w:kern w:val="0"/>
                <w:sz w:val="20"/>
                <w:szCs w:val="20"/>
              </w:rPr>
            </w:pPr>
          </w:p>
        </w:tc>
        <w:tc>
          <w:tcPr>
            <w:tcW w:w="453" w:type="pct"/>
            <w:vMerge w:val="continue"/>
            <w:vAlign w:val="center"/>
          </w:tcPr>
          <w:p w14:paraId="22ECFEF8">
            <w:pPr>
              <w:widowControl/>
              <w:jc w:val="left"/>
              <w:rPr>
                <w:rFonts w:ascii="宋体" w:hAnsi="宋体" w:cs="宋体"/>
                <w:color w:val="auto"/>
                <w:kern w:val="0"/>
                <w:sz w:val="20"/>
                <w:szCs w:val="20"/>
              </w:rPr>
            </w:pPr>
          </w:p>
        </w:tc>
        <w:tc>
          <w:tcPr>
            <w:tcW w:w="621" w:type="pct"/>
            <w:vAlign w:val="center"/>
          </w:tcPr>
          <w:p w14:paraId="06688A2B">
            <w:pPr>
              <w:widowControl/>
              <w:jc w:val="center"/>
              <w:rPr>
                <w:rFonts w:ascii="宋体" w:hAnsi="宋体" w:cs="宋体"/>
                <w:color w:val="auto"/>
                <w:kern w:val="0"/>
                <w:sz w:val="20"/>
                <w:szCs w:val="20"/>
              </w:rPr>
            </w:pPr>
            <w:r>
              <w:rPr>
                <w:rFonts w:hint="eastAsia" w:ascii="宋体" w:hAnsi="宋体" w:cs="宋体"/>
                <w:color w:val="auto"/>
                <w:kern w:val="0"/>
                <w:sz w:val="20"/>
                <w:szCs w:val="20"/>
              </w:rPr>
              <w:t>可持续影响指标</w:t>
            </w:r>
          </w:p>
        </w:tc>
        <w:tc>
          <w:tcPr>
            <w:tcW w:w="1098" w:type="pct"/>
            <w:vAlign w:val="center"/>
          </w:tcPr>
          <w:p w14:paraId="4B998071">
            <w:pPr>
              <w:widowControl/>
              <w:jc w:val="center"/>
              <w:rPr>
                <w:rFonts w:ascii="宋体" w:hAnsi="宋体" w:cs="宋体"/>
                <w:color w:val="auto"/>
                <w:kern w:val="0"/>
                <w:sz w:val="20"/>
                <w:szCs w:val="20"/>
                <w:lang w:bidi="ar"/>
              </w:rPr>
            </w:pPr>
            <w:r>
              <w:rPr>
                <w:rFonts w:hint="eastAsia" w:ascii="宋体" w:hAnsi="宋体" w:cs="宋体"/>
                <w:color w:val="auto"/>
                <w:kern w:val="0"/>
                <w:sz w:val="20"/>
                <w:szCs w:val="20"/>
                <w:lang w:bidi="ar"/>
              </w:rPr>
              <w:t>推动北京广电新媒体高质量建设发展，加快构建全媒体传播格局，推动宣传服务精准化，传播力、引导力、公信力、影响力持续提升</w:t>
            </w:r>
          </w:p>
        </w:tc>
        <w:tc>
          <w:tcPr>
            <w:tcW w:w="1654" w:type="pct"/>
            <w:vAlign w:val="center"/>
          </w:tcPr>
          <w:p w14:paraId="495C092F">
            <w:pPr>
              <w:widowControl/>
              <w:jc w:val="center"/>
              <w:rPr>
                <w:rFonts w:ascii="宋体" w:hAnsi="宋体" w:cs="宋体"/>
                <w:color w:val="auto"/>
                <w:kern w:val="0"/>
                <w:sz w:val="20"/>
                <w:szCs w:val="20"/>
              </w:rPr>
            </w:pPr>
            <w:r>
              <w:rPr>
                <w:rFonts w:hint="eastAsia" w:ascii="宋体" w:hAnsi="宋体" w:cs="宋体"/>
                <w:color w:val="auto"/>
                <w:kern w:val="0"/>
                <w:sz w:val="20"/>
                <w:szCs w:val="20"/>
              </w:rPr>
              <w:t>聚焦重要时间节点，有步骤、有重点构建台网融合宣推、网上网下同频的首都视听大宣传格局，持续提升传播力、引导力、公信力、影响力</w:t>
            </w:r>
            <w:r>
              <w:rPr>
                <w:rFonts w:hint="eastAsia"/>
                <w:color w:val="auto"/>
              </w:rPr>
              <w:t>。</w:t>
            </w:r>
          </w:p>
        </w:tc>
        <w:tc>
          <w:tcPr>
            <w:tcW w:w="415" w:type="pct"/>
            <w:vAlign w:val="center"/>
          </w:tcPr>
          <w:p w14:paraId="7D6D0BD3">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4</w:t>
            </w:r>
          </w:p>
        </w:tc>
        <w:tc>
          <w:tcPr>
            <w:tcW w:w="442" w:type="pct"/>
            <w:noWrap/>
            <w:vAlign w:val="center"/>
          </w:tcPr>
          <w:p w14:paraId="37EF95B1">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3.9</w:t>
            </w:r>
          </w:p>
        </w:tc>
      </w:tr>
      <w:tr w14:paraId="12D4F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5000" w:type="pct"/>
            <w:gridSpan w:val="7"/>
            <w:vAlign w:val="center"/>
          </w:tcPr>
          <w:p w14:paraId="0342F25A">
            <w:pPr>
              <w:widowControl/>
              <w:jc w:val="left"/>
              <w:rPr>
                <w:rFonts w:ascii="宋体" w:hAnsi="宋体" w:cs="宋体"/>
                <w:color w:val="auto"/>
                <w:kern w:val="0"/>
                <w:sz w:val="20"/>
                <w:szCs w:val="20"/>
              </w:rPr>
            </w:pPr>
            <w:r>
              <w:rPr>
                <w:rFonts w:hint="eastAsia" w:ascii="宋体" w:hAnsi="宋体" w:cs="宋体"/>
                <w:color w:val="auto"/>
                <w:kern w:val="0"/>
                <w:sz w:val="20"/>
                <w:szCs w:val="20"/>
              </w:rPr>
              <w:t>三</w:t>
            </w:r>
            <w:r>
              <w:rPr>
                <w:rFonts w:ascii="宋体" w:hAnsi="宋体" w:cs="宋体"/>
                <w:color w:val="auto"/>
                <w:kern w:val="0"/>
                <w:sz w:val="20"/>
                <w:szCs w:val="20"/>
              </w:rPr>
              <w:t>、</w:t>
            </w:r>
            <w:r>
              <w:rPr>
                <w:rFonts w:hint="eastAsia" w:ascii="宋体" w:hAnsi="宋体" w:cs="宋体"/>
                <w:color w:val="auto"/>
                <w:kern w:val="0"/>
                <w:sz w:val="20"/>
                <w:szCs w:val="20"/>
              </w:rPr>
              <w:t>预算管理情况（20分）</w:t>
            </w:r>
          </w:p>
        </w:tc>
      </w:tr>
      <w:tr w14:paraId="71D91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center"/>
        </w:trPr>
        <w:tc>
          <w:tcPr>
            <w:tcW w:w="313" w:type="pct"/>
            <w:vAlign w:val="center"/>
          </w:tcPr>
          <w:p w14:paraId="07E70398">
            <w:pPr>
              <w:widowControl/>
              <w:jc w:val="center"/>
              <w:rPr>
                <w:rFonts w:ascii="宋体" w:hAnsi="宋体" w:cs="宋体"/>
                <w:color w:val="auto"/>
                <w:kern w:val="0"/>
                <w:sz w:val="20"/>
                <w:szCs w:val="20"/>
              </w:rPr>
            </w:pPr>
            <w:r>
              <w:rPr>
                <w:rFonts w:hint="eastAsia" w:ascii="宋体" w:hAnsi="宋体" w:cs="宋体"/>
                <w:color w:val="auto"/>
                <w:kern w:val="0"/>
                <w:sz w:val="20"/>
                <w:szCs w:val="20"/>
              </w:rPr>
              <w:t>一</w:t>
            </w:r>
            <w:r>
              <w:rPr>
                <w:rFonts w:ascii="宋体" w:hAnsi="宋体" w:cs="宋体"/>
                <w:color w:val="auto"/>
                <w:kern w:val="0"/>
                <w:sz w:val="20"/>
                <w:szCs w:val="20"/>
              </w:rPr>
              <w:t>级指标</w:t>
            </w:r>
          </w:p>
        </w:tc>
        <w:tc>
          <w:tcPr>
            <w:tcW w:w="453" w:type="pct"/>
            <w:vAlign w:val="center"/>
          </w:tcPr>
          <w:p w14:paraId="46ADD945">
            <w:pPr>
              <w:widowControl/>
              <w:jc w:val="center"/>
              <w:rPr>
                <w:rFonts w:ascii="宋体" w:hAnsi="宋体" w:cs="宋体"/>
                <w:color w:val="auto"/>
                <w:kern w:val="0"/>
                <w:sz w:val="20"/>
                <w:szCs w:val="20"/>
              </w:rPr>
            </w:pPr>
            <w:r>
              <w:rPr>
                <w:rFonts w:hint="eastAsia" w:ascii="宋体" w:hAnsi="宋体" w:cs="宋体"/>
                <w:color w:val="auto"/>
                <w:kern w:val="0"/>
                <w:sz w:val="20"/>
                <w:szCs w:val="20"/>
              </w:rPr>
              <w:t>二</w:t>
            </w:r>
            <w:r>
              <w:rPr>
                <w:rFonts w:ascii="宋体" w:hAnsi="宋体" w:cs="宋体"/>
                <w:color w:val="auto"/>
                <w:kern w:val="0"/>
                <w:sz w:val="20"/>
                <w:szCs w:val="20"/>
              </w:rPr>
              <w:t>级指标</w:t>
            </w:r>
          </w:p>
        </w:tc>
        <w:tc>
          <w:tcPr>
            <w:tcW w:w="621" w:type="pct"/>
            <w:vAlign w:val="center"/>
          </w:tcPr>
          <w:p w14:paraId="35F910AE">
            <w:pPr>
              <w:widowControl/>
              <w:jc w:val="center"/>
              <w:rPr>
                <w:rFonts w:ascii="宋体" w:hAnsi="宋体" w:cs="宋体"/>
                <w:color w:val="auto"/>
                <w:kern w:val="0"/>
                <w:sz w:val="20"/>
                <w:szCs w:val="20"/>
              </w:rPr>
            </w:pPr>
            <w:r>
              <w:rPr>
                <w:rFonts w:hint="eastAsia" w:ascii="宋体" w:hAnsi="宋体" w:cs="宋体"/>
                <w:color w:val="auto"/>
                <w:kern w:val="0"/>
                <w:sz w:val="20"/>
                <w:szCs w:val="20"/>
              </w:rPr>
              <w:t>三</w:t>
            </w:r>
            <w:r>
              <w:rPr>
                <w:rFonts w:ascii="宋体" w:hAnsi="宋体" w:cs="宋体"/>
                <w:color w:val="auto"/>
                <w:kern w:val="0"/>
                <w:sz w:val="20"/>
                <w:szCs w:val="20"/>
              </w:rPr>
              <w:t>级指标</w:t>
            </w:r>
          </w:p>
        </w:tc>
        <w:tc>
          <w:tcPr>
            <w:tcW w:w="1098" w:type="pct"/>
            <w:vAlign w:val="center"/>
          </w:tcPr>
          <w:p w14:paraId="08833B4C">
            <w:pPr>
              <w:widowControl/>
              <w:jc w:val="center"/>
              <w:rPr>
                <w:rFonts w:ascii="宋体" w:hAnsi="宋体" w:cs="宋体"/>
                <w:color w:val="auto"/>
                <w:kern w:val="0"/>
                <w:sz w:val="20"/>
                <w:szCs w:val="20"/>
              </w:rPr>
            </w:pPr>
            <w:r>
              <w:rPr>
                <w:rFonts w:hint="eastAsia" w:ascii="宋体" w:hAnsi="宋体" w:cs="宋体"/>
                <w:color w:val="auto"/>
                <w:kern w:val="0"/>
                <w:sz w:val="20"/>
                <w:szCs w:val="20"/>
              </w:rPr>
              <w:t>指标</w:t>
            </w:r>
            <w:r>
              <w:rPr>
                <w:rFonts w:ascii="宋体" w:hAnsi="宋体" w:cs="宋体"/>
                <w:color w:val="auto"/>
                <w:kern w:val="0"/>
                <w:sz w:val="20"/>
                <w:szCs w:val="20"/>
              </w:rPr>
              <w:t>值</w:t>
            </w:r>
          </w:p>
        </w:tc>
        <w:tc>
          <w:tcPr>
            <w:tcW w:w="1654" w:type="pct"/>
            <w:vAlign w:val="center"/>
          </w:tcPr>
          <w:p w14:paraId="0E753B75">
            <w:pPr>
              <w:widowControl/>
              <w:jc w:val="center"/>
              <w:rPr>
                <w:rFonts w:ascii="宋体" w:hAnsi="宋体" w:cs="宋体"/>
                <w:color w:val="auto"/>
                <w:kern w:val="0"/>
                <w:sz w:val="20"/>
                <w:szCs w:val="20"/>
              </w:rPr>
            </w:pPr>
            <w:r>
              <w:rPr>
                <w:rFonts w:hint="eastAsia" w:ascii="宋体" w:hAnsi="宋体" w:cs="宋体"/>
                <w:color w:val="auto"/>
                <w:kern w:val="0"/>
                <w:sz w:val="20"/>
                <w:szCs w:val="20"/>
              </w:rPr>
              <w:t>完成</w:t>
            </w:r>
            <w:r>
              <w:rPr>
                <w:rFonts w:ascii="宋体" w:hAnsi="宋体" w:cs="宋体"/>
                <w:color w:val="auto"/>
                <w:kern w:val="0"/>
                <w:sz w:val="20"/>
                <w:szCs w:val="20"/>
              </w:rPr>
              <w:t>值</w:t>
            </w:r>
          </w:p>
        </w:tc>
        <w:tc>
          <w:tcPr>
            <w:tcW w:w="415" w:type="pct"/>
            <w:noWrap/>
            <w:vAlign w:val="center"/>
          </w:tcPr>
          <w:p w14:paraId="3C921C98">
            <w:pPr>
              <w:widowControl/>
              <w:jc w:val="center"/>
              <w:rPr>
                <w:rFonts w:ascii="宋体" w:hAnsi="宋体" w:cs="宋体"/>
                <w:color w:val="auto"/>
                <w:kern w:val="0"/>
                <w:sz w:val="20"/>
                <w:szCs w:val="20"/>
              </w:rPr>
            </w:pPr>
            <w:r>
              <w:rPr>
                <w:rFonts w:hint="eastAsia" w:ascii="宋体" w:hAnsi="宋体" w:cs="宋体"/>
                <w:color w:val="auto"/>
                <w:kern w:val="0"/>
                <w:sz w:val="20"/>
                <w:szCs w:val="20"/>
              </w:rPr>
              <w:t>分</w:t>
            </w:r>
            <w:r>
              <w:rPr>
                <w:rFonts w:ascii="宋体" w:hAnsi="宋体" w:cs="宋体"/>
                <w:color w:val="auto"/>
                <w:kern w:val="0"/>
                <w:sz w:val="20"/>
                <w:szCs w:val="20"/>
              </w:rPr>
              <w:t>值</w:t>
            </w:r>
          </w:p>
        </w:tc>
        <w:tc>
          <w:tcPr>
            <w:tcW w:w="442" w:type="pct"/>
            <w:noWrap/>
            <w:vAlign w:val="center"/>
          </w:tcPr>
          <w:p w14:paraId="7CCE00DA">
            <w:pPr>
              <w:widowControl/>
              <w:jc w:val="center"/>
              <w:rPr>
                <w:rFonts w:ascii="宋体" w:hAnsi="宋体" w:cs="宋体"/>
                <w:color w:val="auto"/>
                <w:kern w:val="0"/>
                <w:sz w:val="20"/>
                <w:szCs w:val="20"/>
              </w:rPr>
            </w:pPr>
            <w:r>
              <w:rPr>
                <w:rFonts w:hint="eastAsia" w:ascii="宋体" w:hAnsi="宋体" w:cs="宋体"/>
                <w:color w:val="auto"/>
                <w:kern w:val="0"/>
                <w:sz w:val="20"/>
                <w:szCs w:val="20"/>
              </w:rPr>
              <w:t>得</w:t>
            </w:r>
            <w:r>
              <w:rPr>
                <w:rFonts w:ascii="宋体" w:hAnsi="宋体" w:cs="宋体"/>
                <w:color w:val="auto"/>
                <w:kern w:val="0"/>
                <w:sz w:val="20"/>
                <w:szCs w:val="20"/>
              </w:rPr>
              <w:t>分</w:t>
            </w:r>
          </w:p>
        </w:tc>
      </w:tr>
      <w:tr w14:paraId="7F796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4" w:hRule="atLeast"/>
          <w:jc w:val="center"/>
        </w:trPr>
        <w:tc>
          <w:tcPr>
            <w:tcW w:w="313" w:type="pct"/>
            <w:vAlign w:val="center"/>
          </w:tcPr>
          <w:p w14:paraId="0FC0ED36">
            <w:pPr>
              <w:widowControl/>
              <w:jc w:val="center"/>
              <w:rPr>
                <w:rFonts w:ascii="宋体" w:hAnsi="宋体" w:cs="宋体"/>
                <w:color w:val="auto"/>
                <w:kern w:val="0"/>
                <w:sz w:val="20"/>
                <w:szCs w:val="20"/>
              </w:rPr>
            </w:pPr>
            <w:r>
              <w:rPr>
                <w:rFonts w:hint="eastAsia" w:ascii="宋体" w:hAnsi="宋体" w:cs="宋体"/>
                <w:color w:val="auto"/>
                <w:kern w:val="0"/>
                <w:sz w:val="20"/>
                <w:szCs w:val="20"/>
              </w:rPr>
              <w:t>预算管理情况（20）</w:t>
            </w:r>
          </w:p>
        </w:tc>
        <w:tc>
          <w:tcPr>
            <w:tcW w:w="453" w:type="pct"/>
            <w:vAlign w:val="center"/>
          </w:tcPr>
          <w:p w14:paraId="20B691C4">
            <w:pPr>
              <w:widowControl/>
              <w:jc w:val="center"/>
              <w:rPr>
                <w:rFonts w:ascii="宋体" w:hAnsi="宋体" w:cs="宋体"/>
                <w:color w:val="auto"/>
                <w:kern w:val="0"/>
                <w:sz w:val="20"/>
                <w:szCs w:val="20"/>
              </w:rPr>
            </w:pPr>
            <w:r>
              <w:rPr>
                <w:rFonts w:hint="eastAsia" w:ascii="宋体" w:hAnsi="宋体" w:cs="宋体"/>
                <w:color w:val="auto"/>
                <w:kern w:val="0"/>
                <w:sz w:val="20"/>
                <w:szCs w:val="20"/>
              </w:rPr>
              <w:t>财务管理（4）</w:t>
            </w:r>
          </w:p>
        </w:tc>
        <w:tc>
          <w:tcPr>
            <w:tcW w:w="621" w:type="pct"/>
            <w:vAlign w:val="center"/>
          </w:tcPr>
          <w:p w14:paraId="31F7D1E1">
            <w:pPr>
              <w:widowControl/>
              <w:jc w:val="center"/>
              <w:rPr>
                <w:rFonts w:ascii="宋体" w:hAnsi="宋体" w:cs="宋体"/>
                <w:color w:val="auto"/>
                <w:kern w:val="0"/>
                <w:sz w:val="20"/>
                <w:szCs w:val="20"/>
              </w:rPr>
            </w:pPr>
            <w:r>
              <w:rPr>
                <w:rFonts w:hint="eastAsia" w:ascii="宋体" w:hAnsi="宋体" w:cs="宋体"/>
                <w:color w:val="auto"/>
                <w:kern w:val="0"/>
                <w:sz w:val="20"/>
                <w:szCs w:val="20"/>
              </w:rPr>
              <w:t>财务管理制度健全性</w:t>
            </w:r>
          </w:p>
        </w:tc>
        <w:tc>
          <w:tcPr>
            <w:tcW w:w="1098" w:type="pct"/>
            <w:vAlign w:val="center"/>
          </w:tcPr>
          <w:p w14:paraId="2B79E3C0">
            <w:pPr>
              <w:widowControl/>
              <w:rPr>
                <w:rFonts w:ascii="宋体" w:hAnsi="宋体" w:cs="宋体"/>
                <w:color w:val="auto"/>
                <w:kern w:val="0"/>
                <w:sz w:val="20"/>
                <w:szCs w:val="20"/>
              </w:rPr>
            </w:pPr>
            <w:r>
              <w:rPr>
                <w:rFonts w:hint="eastAsia" w:ascii="宋体" w:hAnsi="宋体" w:cs="宋体"/>
                <w:color w:val="auto"/>
                <w:kern w:val="0"/>
                <w:sz w:val="20"/>
                <w:szCs w:val="20"/>
              </w:rPr>
              <w:t>财务管理制度健全、完整、合规</w:t>
            </w:r>
          </w:p>
        </w:tc>
        <w:tc>
          <w:tcPr>
            <w:tcW w:w="1654" w:type="pct"/>
            <w:vAlign w:val="center"/>
          </w:tcPr>
          <w:p w14:paraId="6B58B267">
            <w:pPr>
              <w:widowControl/>
              <w:jc w:val="center"/>
              <w:rPr>
                <w:rFonts w:ascii="宋体" w:hAnsi="宋体" w:cs="宋体"/>
                <w:color w:val="auto"/>
                <w:kern w:val="0"/>
                <w:sz w:val="20"/>
                <w:szCs w:val="20"/>
              </w:rPr>
            </w:pPr>
            <w:r>
              <w:rPr>
                <w:rFonts w:hint="eastAsia" w:ascii="宋体" w:hAnsi="宋体" w:cs="宋体"/>
                <w:color w:val="auto"/>
                <w:kern w:val="0"/>
                <w:sz w:val="20"/>
                <w:szCs w:val="20"/>
              </w:rPr>
              <w:t>一是预算资金管理办法、绩效跟踪管理办法、资产管理办法等各项制度健全，二是部门内部财务管理制度完整、合规，三是会计核算制度完整、合规。　</w:t>
            </w:r>
          </w:p>
        </w:tc>
        <w:tc>
          <w:tcPr>
            <w:tcW w:w="415" w:type="pct"/>
            <w:noWrap/>
            <w:vAlign w:val="center"/>
          </w:tcPr>
          <w:p w14:paraId="7322C0ED">
            <w:pPr>
              <w:widowControl/>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442" w:type="pct"/>
            <w:noWrap/>
            <w:vAlign w:val="center"/>
          </w:tcPr>
          <w:p w14:paraId="266F6053">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1</w:t>
            </w:r>
          </w:p>
        </w:tc>
      </w:tr>
      <w:tr w14:paraId="0945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3" w:hRule="atLeast"/>
          <w:jc w:val="center"/>
        </w:trPr>
        <w:tc>
          <w:tcPr>
            <w:tcW w:w="313" w:type="pct"/>
            <w:vMerge w:val="restart"/>
            <w:vAlign w:val="center"/>
          </w:tcPr>
          <w:p w14:paraId="07F9DDA5">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续上页</w:t>
            </w:r>
          </w:p>
        </w:tc>
        <w:tc>
          <w:tcPr>
            <w:tcW w:w="453" w:type="pct"/>
            <w:vMerge w:val="restart"/>
            <w:vAlign w:val="center"/>
          </w:tcPr>
          <w:p w14:paraId="285CF6E9">
            <w:pPr>
              <w:widowControl/>
              <w:jc w:val="left"/>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续上页</w:t>
            </w:r>
          </w:p>
        </w:tc>
        <w:tc>
          <w:tcPr>
            <w:tcW w:w="621" w:type="pct"/>
            <w:vAlign w:val="center"/>
          </w:tcPr>
          <w:p w14:paraId="3335E248">
            <w:pPr>
              <w:widowControl/>
              <w:jc w:val="center"/>
              <w:rPr>
                <w:rFonts w:ascii="宋体" w:hAnsi="宋体" w:cs="宋体"/>
                <w:color w:val="auto"/>
                <w:kern w:val="0"/>
                <w:sz w:val="20"/>
                <w:szCs w:val="20"/>
              </w:rPr>
            </w:pPr>
            <w:r>
              <w:rPr>
                <w:rFonts w:hint="eastAsia" w:ascii="宋体" w:hAnsi="宋体" w:cs="宋体"/>
                <w:color w:val="auto"/>
                <w:kern w:val="0"/>
                <w:sz w:val="20"/>
                <w:szCs w:val="20"/>
              </w:rPr>
              <w:t>资金使用合规性和安全性</w:t>
            </w:r>
          </w:p>
        </w:tc>
        <w:tc>
          <w:tcPr>
            <w:tcW w:w="1098" w:type="pct"/>
            <w:vAlign w:val="center"/>
          </w:tcPr>
          <w:p w14:paraId="21039647">
            <w:pPr>
              <w:widowControl/>
              <w:rPr>
                <w:rFonts w:ascii="宋体" w:hAnsi="宋体" w:cs="宋体"/>
                <w:color w:val="auto"/>
                <w:kern w:val="0"/>
                <w:sz w:val="20"/>
                <w:szCs w:val="20"/>
              </w:rPr>
            </w:pPr>
            <w:r>
              <w:rPr>
                <w:rFonts w:hint="eastAsia" w:ascii="宋体" w:hAnsi="宋体" w:cs="宋体"/>
                <w:color w:val="auto"/>
                <w:kern w:val="0"/>
                <w:sz w:val="20"/>
                <w:szCs w:val="20"/>
              </w:rPr>
              <w:t>按照财务管理制度的规定开支，开支范围符合规定</w:t>
            </w:r>
          </w:p>
        </w:tc>
        <w:tc>
          <w:tcPr>
            <w:tcW w:w="1654" w:type="pct"/>
            <w:vAlign w:val="center"/>
          </w:tcPr>
          <w:p w14:paraId="42387F65">
            <w:pPr>
              <w:widowControl/>
              <w:jc w:val="left"/>
              <w:rPr>
                <w:rFonts w:ascii="宋体" w:hAnsi="宋体" w:cs="宋体"/>
                <w:color w:val="auto"/>
                <w:kern w:val="0"/>
                <w:sz w:val="20"/>
                <w:szCs w:val="20"/>
              </w:rPr>
            </w:pPr>
            <w:r>
              <w:rPr>
                <w:rFonts w:hint="eastAsia" w:ascii="宋体" w:hAnsi="宋体" w:cs="宋体"/>
                <w:color w:val="auto"/>
                <w:kern w:val="0"/>
                <w:sz w:val="20"/>
                <w:szCs w:val="20"/>
              </w:rPr>
              <w:t>一是依法依规使用资金。严格按照国家财经法规、财务管理制度规定、专项资金管理办法等规定使用资金，按规定的结算方式进行结算。二是强化资金使用审批。资金拨付有完整的审批程序和手续。三是规范资金使用过程管理。严格按照预算批复用途使用资金，政府采购应采尽采，不存在截留、挤占、挪用、虚列支出。</w:t>
            </w:r>
          </w:p>
        </w:tc>
        <w:tc>
          <w:tcPr>
            <w:tcW w:w="415" w:type="pct"/>
            <w:noWrap/>
            <w:vAlign w:val="center"/>
          </w:tcPr>
          <w:p w14:paraId="5AEBA53F">
            <w:pPr>
              <w:widowControl/>
              <w:jc w:val="center"/>
              <w:rPr>
                <w:rFonts w:ascii="宋体" w:hAnsi="宋体" w:cs="宋体"/>
                <w:color w:val="auto"/>
                <w:kern w:val="0"/>
                <w:sz w:val="20"/>
                <w:szCs w:val="20"/>
              </w:rPr>
            </w:pPr>
            <w:r>
              <w:rPr>
                <w:rFonts w:hint="eastAsia" w:ascii="宋体" w:hAnsi="宋体" w:cs="宋体"/>
                <w:color w:val="auto"/>
                <w:kern w:val="0"/>
                <w:sz w:val="20"/>
                <w:szCs w:val="20"/>
              </w:rPr>
              <w:t>2</w:t>
            </w:r>
          </w:p>
        </w:tc>
        <w:tc>
          <w:tcPr>
            <w:tcW w:w="442" w:type="pct"/>
            <w:noWrap/>
            <w:vAlign w:val="center"/>
          </w:tcPr>
          <w:p w14:paraId="57605CEE">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2</w:t>
            </w:r>
          </w:p>
        </w:tc>
      </w:tr>
      <w:tr w14:paraId="79287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4" w:hRule="atLeast"/>
          <w:jc w:val="center"/>
        </w:trPr>
        <w:tc>
          <w:tcPr>
            <w:tcW w:w="313" w:type="pct"/>
            <w:vMerge w:val="continue"/>
            <w:vAlign w:val="center"/>
          </w:tcPr>
          <w:p w14:paraId="3F83F6B8">
            <w:pPr>
              <w:widowControl/>
              <w:jc w:val="left"/>
              <w:rPr>
                <w:rFonts w:ascii="宋体" w:hAnsi="宋体" w:cs="宋体"/>
                <w:color w:val="auto"/>
                <w:kern w:val="0"/>
                <w:sz w:val="20"/>
                <w:szCs w:val="20"/>
              </w:rPr>
            </w:pPr>
          </w:p>
        </w:tc>
        <w:tc>
          <w:tcPr>
            <w:tcW w:w="453" w:type="pct"/>
            <w:vMerge w:val="continue"/>
            <w:vAlign w:val="center"/>
          </w:tcPr>
          <w:p w14:paraId="53D471D8">
            <w:pPr>
              <w:widowControl/>
              <w:jc w:val="left"/>
              <w:rPr>
                <w:rFonts w:ascii="宋体" w:hAnsi="宋体" w:cs="宋体"/>
                <w:color w:val="auto"/>
                <w:kern w:val="0"/>
                <w:sz w:val="20"/>
                <w:szCs w:val="20"/>
              </w:rPr>
            </w:pPr>
          </w:p>
        </w:tc>
        <w:tc>
          <w:tcPr>
            <w:tcW w:w="621" w:type="pct"/>
            <w:vAlign w:val="center"/>
          </w:tcPr>
          <w:p w14:paraId="6AB23262">
            <w:pPr>
              <w:widowControl/>
              <w:jc w:val="center"/>
              <w:rPr>
                <w:rFonts w:ascii="宋体" w:hAnsi="宋体" w:cs="宋体"/>
                <w:color w:val="auto"/>
                <w:kern w:val="0"/>
                <w:sz w:val="20"/>
                <w:szCs w:val="20"/>
              </w:rPr>
            </w:pPr>
            <w:r>
              <w:rPr>
                <w:rFonts w:hint="eastAsia" w:ascii="宋体" w:hAnsi="宋体" w:cs="宋体"/>
                <w:color w:val="auto"/>
                <w:kern w:val="0"/>
                <w:sz w:val="20"/>
                <w:szCs w:val="20"/>
              </w:rPr>
              <w:t>会计基础信息完善性</w:t>
            </w:r>
          </w:p>
        </w:tc>
        <w:tc>
          <w:tcPr>
            <w:tcW w:w="1098" w:type="pct"/>
            <w:vAlign w:val="center"/>
          </w:tcPr>
          <w:p w14:paraId="408DEE83">
            <w:pPr>
              <w:widowControl/>
              <w:rPr>
                <w:rFonts w:ascii="宋体" w:hAnsi="宋体" w:cs="宋体"/>
                <w:color w:val="auto"/>
                <w:kern w:val="0"/>
                <w:sz w:val="20"/>
                <w:szCs w:val="20"/>
              </w:rPr>
            </w:pPr>
            <w:r>
              <w:rPr>
                <w:rFonts w:hint="eastAsia" w:ascii="宋体" w:hAnsi="宋体" w:cs="宋体"/>
                <w:color w:val="auto"/>
                <w:kern w:val="0"/>
                <w:sz w:val="20"/>
                <w:szCs w:val="20"/>
              </w:rPr>
              <w:t>会计基础信息真实、完整、准确　</w:t>
            </w:r>
          </w:p>
        </w:tc>
        <w:tc>
          <w:tcPr>
            <w:tcW w:w="1654" w:type="pct"/>
            <w:vAlign w:val="center"/>
          </w:tcPr>
          <w:p w14:paraId="61BEAD4D">
            <w:pPr>
              <w:widowControl/>
              <w:jc w:val="left"/>
              <w:rPr>
                <w:rFonts w:ascii="宋体" w:hAnsi="宋体" w:cs="宋体"/>
                <w:color w:val="auto"/>
                <w:kern w:val="0"/>
                <w:sz w:val="20"/>
                <w:szCs w:val="20"/>
              </w:rPr>
            </w:pPr>
            <w:r>
              <w:rPr>
                <w:rFonts w:hint="eastAsia" w:ascii="宋体" w:hAnsi="宋体" w:cs="宋体"/>
                <w:color w:val="auto"/>
                <w:kern w:val="0"/>
                <w:sz w:val="20"/>
                <w:szCs w:val="20"/>
              </w:rPr>
              <w:t>严格按照国家统一的会计制度，以实际发生的交易或事项为依据，开展会计核算，编制财务报表报告，及时整理会计档案，会计基础信息真实、准确、完整。</w:t>
            </w:r>
          </w:p>
        </w:tc>
        <w:tc>
          <w:tcPr>
            <w:tcW w:w="415" w:type="pct"/>
            <w:noWrap/>
            <w:vAlign w:val="center"/>
          </w:tcPr>
          <w:p w14:paraId="5432A891">
            <w:pPr>
              <w:widowControl/>
              <w:jc w:val="center"/>
              <w:rPr>
                <w:rFonts w:ascii="宋体" w:hAnsi="宋体" w:cs="宋体"/>
                <w:color w:val="auto"/>
                <w:kern w:val="0"/>
                <w:sz w:val="20"/>
                <w:szCs w:val="20"/>
              </w:rPr>
            </w:pPr>
            <w:r>
              <w:rPr>
                <w:rFonts w:hint="eastAsia" w:ascii="宋体" w:hAnsi="宋体" w:cs="宋体"/>
                <w:color w:val="auto"/>
                <w:kern w:val="0"/>
                <w:sz w:val="20"/>
                <w:szCs w:val="20"/>
              </w:rPr>
              <w:t>1</w:t>
            </w:r>
          </w:p>
        </w:tc>
        <w:tc>
          <w:tcPr>
            <w:tcW w:w="442" w:type="pct"/>
            <w:noWrap/>
            <w:vAlign w:val="center"/>
          </w:tcPr>
          <w:p w14:paraId="5F3F2067">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1</w:t>
            </w:r>
          </w:p>
        </w:tc>
      </w:tr>
      <w:tr w14:paraId="34322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2" w:hRule="atLeast"/>
          <w:jc w:val="center"/>
        </w:trPr>
        <w:tc>
          <w:tcPr>
            <w:tcW w:w="313" w:type="pct"/>
            <w:vMerge w:val="continue"/>
            <w:vAlign w:val="center"/>
          </w:tcPr>
          <w:p w14:paraId="42668292">
            <w:pPr>
              <w:widowControl/>
              <w:jc w:val="left"/>
              <w:rPr>
                <w:rFonts w:ascii="宋体" w:hAnsi="宋体" w:cs="宋体"/>
                <w:color w:val="auto"/>
                <w:kern w:val="0"/>
                <w:sz w:val="20"/>
                <w:szCs w:val="20"/>
              </w:rPr>
            </w:pPr>
          </w:p>
        </w:tc>
        <w:tc>
          <w:tcPr>
            <w:tcW w:w="453" w:type="pct"/>
            <w:vAlign w:val="center"/>
          </w:tcPr>
          <w:p w14:paraId="4A053409">
            <w:pPr>
              <w:widowControl/>
              <w:jc w:val="center"/>
              <w:rPr>
                <w:rFonts w:ascii="宋体" w:hAnsi="宋体" w:cs="宋体"/>
                <w:color w:val="auto"/>
                <w:kern w:val="0"/>
                <w:sz w:val="20"/>
                <w:szCs w:val="20"/>
              </w:rPr>
            </w:pPr>
            <w:r>
              <w:rPr>
                <w:rFonts w:hint="eastAsia" w:ascii="宋体" w:hAnsi="宋体" w:cs="宋体"/>
                <w:color w:val="auto"/>
                <w:kern w:val="0"/>
                <w:sz w:val="20"/>
                <w:szCs w:val="20"/>
              </w:rPr>
              <w:t>资产管理（4）</w:t>
            </w:r>
          </w:p>
        </w:tc>
        <w:tc>
          <w:tcPr>
            <w:tcW w:w="621" w:type="pct"/>
            <w:vAlign w:val="center"/>
          </w:tcPr>
          <w:p w14:paraId="5F0D8011">
            <w:pPr>
              <w:widowControl/>
              <w:jc w:val="center"/>
              <w:rPr>
                <w:rFonts w:ascii="宋体" w:hAnsi="宋体" w:cs="宋体"/>
                <w:color w:val="auto"/>
                <w:kern w:val="0"/>
                <w:sz w:val="20"/>
                <w:szCs w:val="20"/>
              </w:rPr>
            </w:pPr>
            <w:r>
              <w:rPr>
                <w:rFonts w:hint="eastAsia" w:ascii="宋体" w:hAnsi="宋体" w:cs="宋体"/>
                <w:color w:val="auto"/>
                <w:kern w:val="0"/>
                <w:sz w:val="20"/>
                <w:szCs w:val="20"/>
              </w:rPr>
              <w:t>资产管理规范性</w:t>
            </w:r>
          </w:p>
        </w:tc>
        <w:tc>
          <w:tcPr>
            <w:tcW w:w="1098" w:type="pct"/>
            <w:vAlign w:val="center"/>
          </w:tcPr>
          <w:p w14:paraId="0F0043AE">
            <w:pPr>
              <w:widowControl/>
              <w:jc w:val="center"/>
              <w:rPr>
                <w:rFonts w:ascii="宋体" w:hAnsi="宋体" w:cs="宋体"/>
                <w:color w:val="auto"/>
                <w:kern w:val="0"/>
                <w:sz w:val="20"/>
                <w:szCs w:val="20"/>
              </w:rPr>
            </w:pPr>
            <w:r>
              <w:rPr>
                <w:rFonts w:hint="eastAsia" w:ascii="宋体" w:hAnsi="宋体" w:cs="宋体"/>
                <w:color w:val="auto"/>
                <w:kern w:val="0"/>
                <w:sz w:val="20"/>
                <w:szCs w:val="20"/>
              </w:rPr>
              <w:t>资产安全完整、合理配置、使用和处置规范</w:t>
            </w:r>
          </w:p>
        </w:tc>
        <w:tc>
          <w:tcPr>
            <w:tcW w:w="1654" w:type="pct"/>
            <w:vAlign w:val="center"/>
          </w:tcPr>
          <w:p w14:paraId="03077ABE">
            <w:pPr>
              <w:widowControl/>
              <w:jc w:val="left"/>
              <w:rPr>
                <w:rFonts w:ascii="宋体" w:hAnsi="宋体" w:cs="宋体"/>
                <w:color w:val="auto"/>
                <w:kern w:val="0"/>
                <w:sz w:val="20"/>
                <w:szCs w:val="20"/>
              </w:rPr>
            </w:pPr>
            <w:r>
              <w:rPr>
                <w:rFonts w:hint="eastAsia" w:ascii="宋体" w:hAnsi="宋体" w:cs="宋体"/>
                <w:color w:val="auto"/>
                <w:kern w:val="0"/>
                <w:sz w:val="20"/>
                <w:szCs w:val="20"/>
              </w:rPr>
              <w:t>一是强化资产管理，严格按照固定资产管理制度规定执行，不存在管理不当导致的严重资产损失。二是规范资产使用，定期开展资产清查，不存在未经批准擅自出租出借行为。三是规范资产处置，不存在不按要求进行报批或资产不公开处置行为。</w:t>
            </w:r>
          </w:p>
        </w:tc>
        <w:tc>
          <w:tcPr>
            <w:tcW w:w="415" w:type="pct"/>
            <w:vAlign w:val="center"/>
          </w:tcPr>
          <w:p w14:paraId="7ABE71C5">
            <w:pPr>
              <w:widowControl/>
              <w:jc w:val="center"/>
              <w:rPr>
                <w:rFonts w:ascii="宋体" w:hAnsi="宋体" w:cs="宋体"/>
                <w:color w:val="auto"/>
                <w:kern w:val="0"/>
                <w:sz w:val="20"/>
                <w:szCs w:val="20"/>
              </w:rPr>
            </w:pPr>
            <w:r>
              <w:rPr>
                <w:rFonts w:hint="eastAsia" w:ascii="宋体" w:hAnsi="宋体" w:cs="宋体"/>
                <w:color w:val="auto"/>
                <w:kern w:val="0"/>
                <w:sz w:val="20"/>
                <w:szCs w:val="20"/>
              </w:rPr>
              <w:t>4</w:t>
            </w:r>
          </w:p>
        </w:tc>
        <w:tc>
          <w:tcPr>
            <w:tcW w:w="442" w:type="pct"/>
            <w:vAlign w:val="center"/>
          </w:tcPr>
          <w:p w14:paraId="2C96B68B">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3.2</w:t>
            </w:r>
          </w:p>
        </w:tc>
      </w:tr>
      <w:tr w14:paraId="3D564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1" w:hRule="atLeast"/>
          <w:jc w:val="center"/>
        </w:trPr>
        <w:tc>
          <w:tcPr>
            <w:tcW w:w="313" w:type="pct"/>
            <w:vMerge w:val="continue"/>
            <w:vAlign w:val="center"/>
          </w:tcPr>
          <w:p w14:paraId="1FD5E50D">
            <w:pPr>
              <w:widowControl/>
              <w:jc w:val="left"/>
              <w:rPr>
                <w:rFonts w:ascii="宋体" w:hAnsi="宋体" w:cs="宋体"/>
                <w:color w:val="auto"/>
                <w:kern w:val="0"/>
                <w:sz w:val="20"/>
                <w:szCs w:val="20"/>
              </w:rPr>
            </w:pPr>
          </w:p>
        </w:tc>
        <w:tc>
          <w:tcPr>
            <w:tcW w:w="453" w:type="pct"/>
            <w:vAlign w:val="center"/>
          </w:tcPr>
          <w:p w14:paraId="697F33F5">
            <w:pPr>
              <w:widowControl/>
              <w:jc w:val="center"/>
              <w:rPr>
                <w:rFonts w:ascii="宋体" w:hAnsi="宋体" w:cs="宋体"/>
                <w:color w:val="auto"/>
                <w:kern w:val="0"/>
                <w:sz w:val="20"/>
                <w:szCs w:val="20"/>
              </w:rPr>
            </w:pPr>
            <w:r>
              <w:rPr>
                <w:rFonts w:hint="eastAsia" w:ascii="宋体" w:hAnsi="宋体" w:cs="宋体"/>
                <w:color w:val="auto"/>
                <w:kern w:val="0"/>
                <w:sz w:val="20"/>
                <w:szCs w:val="20"/>
              </w:rPr>
              <w:t>绩效管理（4）</w:t>
            </w:r>
          </w:p>
        </w:tc>
        <w:tc>
          <w:tcPr>
            <w:tcW w:w="621" w:type="pct"/>
            <w:vAlign w:val="center"/>
          </w:tcPr>
          <w:p w14:paraId="4217DFE4">
            <w:pPr>
              <w:widowControl/>
              <w:jc w:val="center"/>
              <w:rPr>
                <w:rFonts w:ascii="宋体" w:hAnsi="宋体" w:cs="宋体"/>
                <w:color w:val="auto"/>
                <w:kern w:val="0"/>
                <w:sz w:val="20"/>
                <w:szCs w:val="20"/>
              </w:rPr>
            </w:pPr>
            <w:r>
              <w:rPr>
                <w:rFonts w:hint="eastAsia" w:ascii="宋体" w:hAnsi="宋体" w:cs="宋体"/>
                <w:color w:val="auto"/>
                <w:kern w:val="0"/>
                <w:sz w:val="20"/>
                <w:szCs w:val="20"/>
              </w:rPr>
              <w:t>绩效管理情况</w:t>
            </w:r>
          </w:p>
        </w:tc>
        <w:tc>
          <w:tcPr>
            <w:tcW w:w="1098" w:type="pct"/>
            <w:vAlign w:val="center"/>
          </w:tcPr>
          <w:p w14:paraId="4DB57588">
            <w:pPr>
              <w:widowControl/>
              <w:jc w:val="center"/>
              <w:rPr>
                <w:rFonts w:ascii="宋体" w:hAnsi="宋体" w:cs="宋体"/>
                <w:color w:val="auto"/>
                <w:kern w:val="0"/>
                <w:sz w:val="20"/>
                <w:szCs w:val="20"/>
              </w:rPr>
            </w:pPr>
            <w:r>
              <w:rPr>
                <w:rFonts w:hint="eastAsia" w:ascii="宋体" w:hAnsi="宋体" w:cs="宋体"/>
                <w:color w:val="auto"/>
                <w:kern w:val="0"/>
                <w:sz w:val="20"/>
                <w:szCs w:val="20"/>
              </w:rPr>
              <w:t>及时对绩效信息进行汇总整理，对绩效目标偏离及时矫正</w:t>
            </w:r>
          </w:p>
        </w:tc>
        <w:tc>
          <w:tcPr>
            <w:tcW w:w="1654" w:type="pct"/>
            <w:vAlign w:val="center"/>
          </w:tcPr>
          <w:p w14:paraId="49FD1CEA">
            <w:pPr>
              <w:widowControl/>
              <w:jc w:val="center"/>
              <w:rPr>
                <w:rFonts w:ascii="宋体" w:hAnsi="宋体" w:cs="宋体"/>
                <w:color w:val="auto"/>
                <w:kern w:val="0"/>
                <w:sz w:val="20"/>
                <w:szCs w:val="20"/>
              </w:rPr>
            </w:pPr>
            <w:r>
              <w:rPr>
                <w:rFonts w:hint="eastAsia" w:ascii="宋体" w:hAnsi="宋体" w:cs="宋体"/>
                <w:color w:val="auto"/>
                <w:kern w:val="0"/>
                <w:sz w:val="20"/>
                <w:szCs w:val="20"/>
              </w:rPr>
              <w:t>全面落实</w:t>
            </w:r>
            <w:r>
              <w:rPr>
                <w:rFonts w:ascii="宋体" w:hAnsi="宋体" w:cs="宋体"/>
                <w:color w:val="auto"/>
                <w:kern w:val="0"/>
                <w:sz w:val="20"/>
                <w:szCs w:val="20"/>
              </w:rPr>
              <w:t>绩效管理</w:t>
            </w:r>
            <w:r>
              <w:rPr>
                <w:rFonts w:hint="eastAsia" w:ascii="宋体" w:hAnsi="宋体" w:cs="宋体"/>
                <w:color w:val="auto"/>
                <w:kern w:val="0"/>
                <w:sz w:val="20"/>
                <w:szCs w:val="20"/>
              </w:rPr>
              <w:t>相关</w:t>
            </w:r>
            <w:r>
              <w:rPr>
                <w:rFonts w:ascii="宋体" w:hAnsi="宋体" w:cs="宋体"/>
                <w:color w:val="auto"/>
                <w:kern w:val="0"/>
                <w:sz w:val="20"/>
                <w:szCs w:val="20"/>
              </w:rPr>
              <w:t>要求</w:t>
            </w:r>
            <w:r>
              <w:rPr>
                <w:rFonts w:hint="eastAsia" w:ascii="宋体" w:hAnsi="宋体" w:cs="宋体"/>
                <w:color w:val="auto"/>
                <w:kern w:val="0"/>
                <w:sz w:val="20"/>
                <w:szCs w:val="20"/>
              </w:rPr>
              <w:t>，加强绩效信息的汇总和应用，对绩效监控信息进行收集、分析、汇总，对发现目标</w:t>
            </w:r>
            <w:r>
              <w:rPr>
                <w:rFonts w:ascii="宋体" w:hAnsi="宋体" w:cs="宋体"/>
                <w:color w:val="auto"/>
                <w:kern w:val="0"/>
                <w:sz w:val="20"/>
                <w:szCs w:val="20"/>
              </w:rPr>
              <w:t>偏离情况</w:t>
            </w:r>
            <w:r>
              <w:rPr>
                <w:rFonts w:hint="eastAsia" w:ascii="宋体" w:hAnsi="宋体" w:cs="宋体"/>
                <w:color w:val="auto"/>
                <w:kern w:val="0"/>
                <w:sz w:val="20"/>
                <w:szCs w:val="20"/>
              </w:rPr>
              <w:t>，及时纠偏。</w:t>
            </w:r>
          </w:p>
        </w:tc>
        <w:tc>
          <w:tcPr>
            <w:tcW w:w="415" w:type="pct"/>
            <w:vAlign w:val="center"/>
          </w:tcPr>
          <w:p w14:paraId="416C3D9E">
            <w:pPr>
              <w:widowControl/>
              <w:jc w:val="center"/>
              <w:rPr>
                <w:rFonts w:ascii="宋体" w:hAnsi="宋体" w:cs="宋体"/>
                <w:color w:val="auto"/>
                <w:kern w:val="0"/>
                <w:sz w:val="20"/>
                <w:szCs w:val="20"/>
              </w:rPr>
            </w:pPr>
            <w:r>
              <w:rPr>
                <w:rFonts w:hint="eastAsia" w:ascii="宋体" w:hAnsi="宋体" w:cs="宋体"/>
                <w:color w:val="auto"/>
                <w:kern w:val="0"/>
                <w:sz w:val="20"/>
                <w:szCs w:val="20"/>
              </w:rPr>
              <w:t>4</w:t>
            </w:r>
          </w:p>
        </w:tc>
        <w:tc>
          <w:tcPr>
            <w:tcW w:w="442" w:type="pct"/>
            <w:vAlign w:val="center"/>
          </w:tcPr>
          <w:p w14:paraId="7357A257">
            <w:pPr>
              <w:widowControl/>
              <w:jc w:val="center"/>
              <w:rPr>
                <w:rFonts w:ascii="宋体" w:hAnsi="宋体" w:cs="宋体"/>
                <w:color w:val="auto"/>
                <w:kern w:val="0"/>
                <w:sz w:val="20"/>
                <w:szCs w:val="20"/>
              </w:rPr>
            </w:pPr>
            <w:r>
              <w:rPr>
                <w:rFonts w:hint="eastAsia" w:ascii="宋体" w:hAnsi="宋体" w:cs="宋体"/>
                <w:color w:val="auto"/>
                <w:kern w:val="0"/>
                <w:sz w:val="20"/>
                <w:szCs w:val="20"/>
                <w:lang w:bidi="ar"/>
              </w:rPr>
              <w:t>4</w:t>
            </w:r>
          </w:p>
        </w:tc>
      </w:tr>
      <w:tr w14:paraId="68A2B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313" w:type="pct"/>
            <w:vMerge w:val="continue"/>
            <w:vAlign w:val="center"/>
          </w:tcPr>
          <w:p w14:paraId="4B7C4C59">
            <w:pPr>
              <w:widowControl/>
              <w:jc w:val="left"/>
              <w:rPr>
                <w:rFonts w:ascii="宋体" w:hAnsi="宋体" w:cs="宋体"/>
                <w:color w:val="auto"/>
                <w:kern w:val="0"/>
                <w:sz w:val="20"/>
                <w:szCs w:val="20"/>
              </w:rPr>
            </w:pPr>
          </w:p>
        </w:tc>
        <w:tc>
          <w:tcPr>
            <w:tcW w:w="453" w:type="pct"/>
            <w:vAlign w:val="center"/>
          </w:tcPr>
          <w:p w14:paraId="09796D42">
            <w:pPr>
              <w:widowControl/>
              <w:jc w:val="center"/>
              <w:rPr>
                <w:rFonts w:ascii="宋体" w:hAnsi="宋体" w:cs="宋体"/>
                <w:color w:val="auto"/>
                <w:kern w:val="0"/>
                <w:sz w:val="20"/>
                <w:szCs w:val="20"/>
              </w:rPr>
            </w:pPr>
            <w:r>
              <w:rPr>
                <w:rFonts w:hint="eastAsia" w:ascii="宋体" w:hAnsi="宋体" w:cs="宋体"/>
                <w:color w:val="auto"/>
                <w:kern w:val="0"/>
                <w:sz w:val="20"/>
                <w:szCs w:val="20"/>
              </w:rPr>
              <w:t>指标　</w:t>
            </w:r>
          </w:p>
        </w:tc>
        <w:tc>
          <w:tcPr>
            <w:tcW w:w="1720" w:type="pct"/>
            <w:gridSpan w:val="2"/>
            <w:vAlign w:val="center"/>
          </w:tcPr>
          <w:p w14:paraId="485D7FCB">
            <w:pPr>
              <w:widowControl/>
              <w:jc w:val="center"/>
              <w:rPr>
                <w:rFonts w:ascii="宋体" w:hAnsi="宋体" w:cs="宋体"/>
                <w:color w:val="auto"/>
                <w:kern w:val="0"/>
                <w:sz w:val="20"/>
                <w:szCs w:val="20"/>
              </w:rPr>
            </w:pPr>
            <w:r>
              <w:rPr>
                <w:rFonts w:hint="eastAsia" w:ascii="宋体" w:hAnsi="宋体" w:cs="宋体"/>
                <w:color w:val="auto"/>
                <w:kern w:val="0"/>
                <w:sz w:val="20"/>
                <w:szCs w:val="20"/>
              </w:rPr>
              <w:t>2024年</w:t>
            </w:r>
          </w:p>
        </w:tc>
        <w:tc>
          <w:tcPr>
            <w:tcW w:w="1654" w:type="pct"/>
            <w:vAlign w:val="center"/>
          </w:tcPr>
          <w:p w14:paraId="04366A48">
            <w:pPr>
              <w:widowControl/>
              <w:jc w:val="center"/>
              <w:rPr>
                <w:rFonts w:ascii="宋体" w:hAnsi="宋体" w:cs="宋体"/>
                <w:color w:val="auto"/>
                <w:kern w:val="0"/>
                <w:sz w:val="20"/>
                <w:szCs w:val="20"/>
              </w:rPr>
            </w:pPr>
            <w:r>
              <w:rPr>
                <w:rFonts w:hint="eastAsia" w:ascii="宋体" w:hAnsi="宋体" w:cs="宋体"/>
                <w:color w:val="auto"/>
                <w:kern w:val="0"/>
                <w:sz w:val="20"/>
                <w:szCs w:val="20"/>
              </w:rPr>
              <w:t>2025年</w:t>
            </w:r>
          </w:p>
        </w:tc>
        <w:tc>
          <w:tcPr>
            <w:tcW w:w="415" w:type="pct"/>
            <w:vAlign w:val="center"/>
          </w:tcPr>
          <w:p w14:paraId="398FBA79">
            <w:pPr>
              <w:widowControl/>
              <w:jc w:val="center"/>
              <w:rPr>
                <w:rFonts w:ascii="宋体" w:hAnsi="宋体" w:cs="宋体"/>
                <w:color w:val="auto"/>
                <w:kern w:val="0"/>
                <w:sz w:val="20"/>
                <w:szCs w:val="20"/>
              </w:rPr>
            </w:pPr>
            <w:r>
              <w:rPr>
                <w:rFonts w:hint="eastAsia" w:ascii="宋体" w:hAnsi="宋体" w:cs="宋体"/>
                <w:color w:val="auto"/>
                <w:kern w:val="0"/>
                <w:sz w:val="20"/>
                <w:szCs w:val="20"/>
              </w:rPr>
              <w:t>分值</w:t>
            </w:r>
          </w:p>
        </w:tc>
        <w:tc>
          <w:tcPr>
            <w:tcW w:w="442" w:type="pct"/>
            <w:vAlign w:val="center"/>
          </w:tcPr>
          <w:p w14:paraId="15E84C31">
            <w:pPr>
              <w:widowControl/>
              <w:jc w:val="center"/>
              <w:rPr>
                <w:rFonts w:ascii="宋体" w:hAnsi="宋体" w:cs="宋体"/>
                <w:color w:val="auto"/>
                <w:kern w:val="0"/>
                <w:sz w:val="20"/>
                <w:szCs w:val="20"/>
              </w:rPr>
            </w:pPr>
            <w:r>
              <w:rPr>
                <w:rFonts w:hint="eastAsia" w:ascii="宋体" w:hAnsi="宋体" w:cs="宋体"/>
                <w:color w:val="auto"/>
                <w:kern w:val="0"/>
                <w:sz w:val="20"/>
                <w:szCs w:val="20"/>
              </w:rPr>
              <w:t>得分</w:t>
            </w:r>
          </w:p>
        </w:tc>
      </w:tr>
      <w:tr w14:paraId="369F4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jc w:val="center"/>
        </w:trPr>
        <w:tc>
          <w:tcPr>
            <w:tcW w:w="313" w:type="pct"/>
            <w:vMerge w:val="continue"/>
            <w:vAlign w:val="center"/>
          </w:tcPr>
          <w:p w14:paraId="2C6CAA3E">
            <w:pPr>
              <w:widowControl/>
              <w:jc w:val="left"/>
              <w:rPr>
                <w:rFonts w:ascii="宋体" w:hAnsi="宋体" w:cs="宋体"/>
                <w:color w:val="auto"/>
                <w:kern w:val="0"/>
                <w:sz w:val="20"/>
                <w:szCs w:val="20"/>
              </w:rPr>
            </w:pPr>
          </w:p>
        </w:tc>
        <w:tc>
          <w:tcPr>
            <w:tcW w:w="453" w:type="pct"/>
            <w:vAlign w:val="center"/>
          </w:tcPr>
          <w:p w14:paraId="71B4D511">
            <w:pPr>
              <w:widowControl/>
              <w:jc w:val="center"/>
              <w:rPr>
                <w:rFonts w:ascii="宋体" w:hAnsi="宋体" w:cs="宋体"/>
                <w:color w:val="auto"/>
                <w:kern w:val="0"/>
                <w:sz w:val="20"/>
                <w:szCs w:val="20"/>
              </w:rPr>
            </w:pPr>
            <w:r>
              <w:rPr>
                <w:rFonts w:hint="eastAsia" w:ascii="宋体" w:hAnsi="宋体" w:cs="宋体"/>
                <w:color w:val="auto"/>
                <w:kern w:val="0"/>
                <w:sz w:val="20"/>
                <w:szCs w:val="20"/>
              </w:rPr>
              <w:t>结转结余率（4）</w:t>
            </w:r>
          </w:p>
        </w:tc>
        <w:tc>
          <w:tcPr>
            <w:tcW w:w="1720" w:type="pct"/>
            <w:gridSpan w:val="2"/>
            <w:vAlign w:val="center"/>
          </w:tcPr>
          <w:p w14:paraId="2518B94B">
            <w:pPr>
              <w:widowControl/>
              <w:jc w:val="center"/>
              <w:rPr>
                <w:rFonts w:ascii="宋体" w:hAnsi="宋体" w:cs="宋体"/>
                <w:color w:val="auto"/>
                <w:kern w:val="0"/>
                <w:sz w:val="20"/>
                <w:szCs w:val="20"/>
              </w:rPr>
            </w:pPr>
            <w:r>
              <w:rPr>
                <w:rFonts w:hint="eastAsia" w:ascii="宋体" w:hAnsi="宋体" w:cs="宋体"/>
                <w:color w:val="auto"/>
                <w:kern w:val="0"/>
                <w:sz w:val="20"/>
                <w:szCs w:val="20"/>
              </w:rPr>
              <w:t>6</w:t>
            </w:r>
            <w:r>
              <w:rPr>
                <w:rFonts w:ascii="宋体" w:hAnsi="宋体" w:cs="宋体"/>
                <w:color w:val="auto"/>
                <w:kern w:val="0"/>
                <w:sz w:val="20"/>
                <w:szCs w:val="20"/>
              </w:rPr>
              <w:t>.</w:t>
            </w:r>
            <w:r>
              <w:rPr>
                <w:rFonts w:hint="eastAsia" w:ascii="宋体" w:hAnsi="宋体" w:cs="宋体"/>
                <w:color w:val="auto"/>
                <w:kern w:val="0"/>
                <w:sz w:val="20"/>
                <w:szCs w:val="20"/>
              </w:rPr>
              <w:t>02%　</w:t>
            </w:r>
          </w:p>
        </w:tc>
        <w:tc>
          <w:tcPr>
            <w:tcW w:w="1654" w:type="pct"/>
            <w:vAlign w:val="center"/>
          </w:tcPr>
          <w:p w14:paraId="68E94EAF">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7.08%</w:t>
            </w:r>
          </w:p>
        </w:tc>
        <w:tc>
          <w:tcPr>
            <w:tcW w:w="415" w:type="pct"/>
            <w:vAlign w:val="center"/>
          </w:tcPr>
          <w:p w14:paraId="742AE8E7">
            <w:pPr>
              <w:widowControl/>
              <w:jc w:val="center"/>
              <w:rPr>
                <w:rFonts w:ascii="宋体" w:hAnsi="宋体" w:cs="宋体"/>
                <w:color w:val="auto"/>
                <w:kern w:val="0"/>
                <w:sz w:val="20"/>
                <w:szCs w:val="20"/>
              </w:rPr>
            </w:pPr>
            <w:r>
              <w:rPr>
                <w:rFonts w:hint="eastAsia" w:ascii="宋体" w:hAnsi="宋体" w:cs="宋体"/>
                <w:color w:val="auto"/>
                <w:kern w:val="0"/>
                <w:sz w:val="20"/>
                <w:szCs w:val="20"/>
              </w:rPr>
              <w:t>4</w:t>
            </w:r>
          </w:p>
        </w:tc>
        <w:tc>
          <w:tcPr>
            <w:tcW w:w="442" w:type="pct"/>
            <w:vAlign w:val="center"/>
          </w:tcPr>
          <w:p w14:paraId="2D2287A1">
            <w:pPr>
              <w:widowControl/>
              <w:jc w:val="center"/>
              <w:rPr>
                <w:rFonts w:ascii="宋体" w:hAnsi="宋体" w:cs="宋体"/>
                <w:color w:val="auto"/>
                <w:kern w:val="0"/>
                <w:sz w:val="20"/>
                <w:szCs w:val="20"/>
              </w:rPr>
            </w:pPr>
            <w:r>
              <w:rPr>
                <w:rFonts w:hint="eastAsia" w:ascii="宋体" w:hAnsi="宋体" w:cs="宋体"/>
                <w:color w:val="auto"/>
                <w:kern w:val="0"/>
                <w:sz w:val="20"/>
                <w:szCs w:val="20"/>
              </w:rPr>
              <w:t>3.6　</w:t>
            </w:r>
          </w:p>
        </w:tc>
      </w:tr>
      <w:tr w14:paraId="2529A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13" w:type="pct"/>
            <w:vMerge w:val="continue"/>
            <w:vAlign w:val="center"/>
          </w:tcPr>
          <w:p w14:paraId="30766849">
            <w:pPr>
              <w:widowControl/>
              <w:jc w:val="left"/>
              <w:rPr>
                <w:rFonts w:ascii="宋体" w:hAnsi="宋体" w:cs="宋体"/>
                <w:color w:val="auto"/>
                <w:kern w:val="0"/>
                <w:sz w:val="20"/>
                <w:szCs w:val="20"/>
              </w:rPr>
            </w:pPr>
          </w:p>
        </w:tc>
        <w:tc>
          <w:tcPr>
            <w:tcW w:w="453" w:type="pct"/>
            <w:vAlign w:val="center"/>
          </w:tcPr>
          <w:p w14:paraId="4176B780">
            <w:pPr>
              <w:widowControl/>
              <w:jc w:val="center"/>
              <w:rPr>
                <w:rFonts w:ascii="宋体" w:hAnsi="宋体" w:cs="宋体"/>
                <w:color w:val="auto"/>
                <w:kern w:val="0"/>
                <w:sz w:val="20"/>
                <w:szCs w:val="20"/>
              </w:rPr>
            </w:pPr>
            <w:r>
              <w:rPr>
                <w:rFonts w:hint="eastAsia" w:ascii="宋体" w:hAnsi="宋体" w:cs="宋体"/>
                <w:color w:val="auto"/>
                <w:kern w:val="0"/>
                <w:sz w:val="20"/>
                <w:szCs w:val="20"/>
              </w:rPr>
              <w:t>部门预决算差异率（4）</w:t>
            </w:r>
          </w:p>
        </w:tc>
        <w:tc>
          <w:tcPr>
            <w:tcW w:w="1720" w:type="pct"/>
            <w:gridSpan w:val="2"/>
            <w:vAlign w:val="center"/>
          </w:tcPr>
          <w:p w14:paraId="49717512">
            <w:pPr>
              <w:widowControl/>
              <w:jc w:val="center"/>
              <w:rPr>
                <w:rFonts w:ascii="宋体" w:hAnsi="宋体" w:cs="宋体"/>
                <w:color w:val="auto"/>
                <w:kern w:val="0"/>
                <w:sz w:val="20"/>
                <w:szCs w:val="20"/>
              </w:rPr>
            </w:pPr>
            <w:r>
              <w:rPr>
                <w:rFonts w:hint="eastAsia" w:ascii="宋体" w:hAnsi="宋体" w:cs="宋体"/>
                <w:color w:val="auto"/>
                <w:kern w:val="0"/>
                <w:sz w:val="20"/>
                <w:szCs w:val="20"/>
              </w:rPr>
              <w:t>4</w:t>
            </w:r>
            <w:r>
              <w:rPr>
                <w:rFonts w:ascii="宋体" w:hAnsi="宋体" w:cs="宋体"/>
                <w:color w:val="auto"/>
                <w:kern w:val="0"/>
                <w:sz w:val="20"/>
                <w:szCs w:val="20"/>
              </w:rPr>
              <w:t>.</w:t>
            </w:r>
            <w:r>
              <w:rPr>
                <w:rFonts w:hint="eastAsia" w:ascii="宋体" w:hAnsi="宋体" w:cs="宋体"/>
                <w:color w:val="auto"/>
                <w:kern w:val="0"/>
                <w:sz w:val="20"/>
                <w:szCs w:val="20"/>
              </w:rPr>
              <w:t>77</w:t>
            </w:r>
            <w:r>
              <w:rPr>
                <w:rFonts w:ascii="宋体" w:hAnsi="宋体" w:cs="宋体"/>
                <w:color w:val="auto"/>
                <w:kern w:val="0"/>
                <w:sz w:val="20"/>
                <w:szCs w:val="20"/>
              </w:rPr>
              <w:t>%</w:t>
            </w:r>
          </w:p>
        </w:tc>
        <w:tc>
          <w:tcPr>
            <w:tcW w:w="1654" w:type="pct"/>
            <w:vAlign w:val="center"/>
          </w:tcPr>
          <w:p w14:paraId="7576A3CA">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lang w:bidi="ar"/>
              </w:rPr>
              <w:t>0.37%</w:t>
            </w:r>
          </w:p>
        </w:tc>
        <w:tc>
          <w:tcPr>
            <w:tcW w:w="415" w:type="pct"/>
            <w:vAlign w:val="center"/>
          </w:tcPr>
          <w:p w14:paraId="79B6E0CC">
            <w:pPr>
              <w:widowControl/>
              <w:jc w:val="center"/>
              <w:rPr>
                <w:rFonts w:ascii="宋体" w:hAnsi="宋体" w:cs="宋体"/>
                <w:color w:val="auto"/>
                <w:kern w:val="0"/>
                <w:sz w:val="20"/>
                <w:szCs w:val="20"/>
              </w:rPr>
            </w:pPr>
            <w:r>
              <w:rPr>
                <w:rFonts w:hint="eastAsia" w:ascii="宋体" w:hAnsi="宋体" w:cs="宋体"/>
                <w:color w:val="auto"/>
                <w:kern w:val="0"/>
                <w:sz w:val="20"/>
                <w:szCs w:val="20"/>
              </w:rPr>
              <w:t>4</w:t>
            </w:r>
          </w:p>
        </w:tc>
        <w:tc>
          <w:tcPr>
            <w:tcW w:w="442" w:type="pct"/>
            <w:vAlign w:val="center"/>
          </w:tcPr>
          <w:p w14:paraId="46620D0A">
            <w:pPr>
              <w:widowControl/>
              <w:jc w:val="center"/>
              <w:rPr>
                <w:rFonts w:ascii="宋体" w:hAnsi="宋体" w:cs="宋体"/>
                <w:color w:val="auto"/>
                <w:kern w:val="0"/>
                <w:sz w:val="20"/>
                <w:szCs w:val="20"/>
              </w:rPr>
            </w:pPr>
            <w:r>
              <w:rPr>
                <w:rFonts w:hint="eastAsia" w:ascii="宋体" w:hAnsi="宋体" w:cs="宋体"/>
                <w:color w:val="auto"/>
                <w:kern w:val="0"/>
                <w:sz w:val="20"/>
                <w:szCs w:val="20"/>
              </w:rPr>
              <w:t>4　</w:t>
            </w:r>
          </w:p>
        </w:tc>
      </w:tr>
      <w:tr w14:paraId="12A4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4141" w:type="pct"/>
            <w:gridSpan w:val="5"/>
            <w:vAlign w:val="center"/>
          </w:tcPr>
          <w:p w14:paraId="3ED3C224">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合计</w:t>
            </w:r>
          </w:p>
        </w:tc>
        <w:tc>
          <w:tcPr>
            <w:tcW w:w="415" w:type="pct"/>
            <w:vAlign w:val="center"/>
          </w:tcPr>
          <w:p w14:paraId="408B088C">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100</w:t>
            </w:r>
          </w:p>
        </w:tc>
        <w:tc>
          <w:tcPr>
            <w:tcW w:w="442" w:type="pct"/>
            <w:vAlign w:val="center"/>
          </w:tcPr>
          <w:p w14:paraId="210746DC">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96.28　</w:t>
            </w:r>
          </w:p>
        </w:tc>
      </w:tr>
    </w:tbl>
    <w:p w14:paraId="6D02B782">
      <w:pPr>
        <w:pBdr>
          <w:bottom w:val="single" w:color="FFFFFF" w:sz="4" w:space="31"/>
        </w:pBdr>
        <w:adjustRightInd w:val="0"/>
        <w:snapToGrid w:val="0"/>
        <w:spacing w:line="560" w:lineRule="exact"/>
        <w:ind w:firstLine="640" w:firstLineChars="200"/>
        <w:rPr>
          <w:rFonts w:ascii="仿宋_GB2312" w:hAnsi="宋体" w:eastAsia="仿宋_GB2312" w:cs="宋体"/>
          <w:color w:val="auto"/>
          <w:kern w:val="0"/>
          <w:sz w:val="32"/>
          <w:szCs w:val="32"/>
        </w:rPr>
      </w:pPr>
    </w:p>
    <w:p w14:paraId="39081578">
      <w:pPr>
        <w:pBdr>
          <w:bottom w:val="single" w:color="FFFFFF" w:sz="4" w:space="31"/>
        </w:pBdr>
        <w:adjustRightInd w:val="0"/>
        <w:snapToGrid w:val="0"/>
        <w:spacing w:line="560" w:lineRule="exact"/>
        <w:ind w:firstLine="640" w:firstLineChars="200"/>
        <w:rPr>
          <w:rFonts w:ascii="仿宋_GB2312" w:eastAsia="仿宋_GB2312"/>
          <w:color w:val="auto"/>
          <w:sz w:val="32"/>
          <w:szCs w:val="32"/>
        </w:rPr>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92F1CF-B2EF-4C79-94EE-724F8CF4C23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290A4136-8240-4201-867C-8D2E60A75BC9}"/>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60F76A3D-2D41-488E-8FD3-6945460E1A09}"/>
  </w:font>
  <w:font w:name="楷体_GB2312">
    <w:panose1 w:val="02010609030101010101"/>
    <w:charset w:val="86"/>
    <w:family w:val="modern"/>
    <w:pitch w:val="default"/>
    <w:sig w:usb0="00000001" w:usb1="080E0000" w:usb2="00000000" w:usb3="00000000" w:csb0="00040000" w:csb1="00000000"/>
    <w:embedRegular r:id="rId4" w:fontKey="{CB49001B-72E9-4472-9AC0-2AB14A147C3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embedRegular r:id="rId5" w:fontKey="{95760758-B0E4-400C-89A8-7DE05F398FC8}"/>
  </w:font>
  <w:font w:name="楷体">
    <w:panose1 w:val="02010609060101010101"/>
    <w:charset w:val="86"/>
    <w:family w:val="modern"/>
    <w:pitch w:val="default"/>
    <w:sig w:usb0="800002BF" w:usb1="38CF7CFA" w:usb2="00000016" w:usb3="00000000" w:csb0="00040001" w:csb1="00000000"/>
    <w:embedRegular r:id="rId6" w:fontKey="{B048141E-831B-41BB-8E39-563D1A01E069}"/>
  </w:font>
  <w:font w:name="仿宋">
    <w:panose1 w:val="02010609060101010101"/>
    <w:charset w:val="86"/>
    <w:family w:val="modern"/>
    <w:pitch w:val="default"/>
    <w:sig w:usb0="800002BF" w:usb1="38CF7CFA" w:usb2="00000016" w:usb3="00000000" w:csb0="00040001" w:csb1="00000000"/>
    <w:embedRegular r:id="rId7" w:fontKey="{82BB6D8B-20E1-45BB-A239-8E2DCB3E4EF1}"/>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hAnsi="仿宋_GB2312" w:eastAsia="仿宋_GB2312" w:cs="仿宋_GB2312"/>
        <w:sz w:val="30"/>
        <w:szCs w:val="30"/>
      </w:rPr>
      <w:id w:val="147461923"/>
    </w:sdtPr>
    <w:sdtEndPr>
      <w:rPr>
        <w:rFonts w:hint="eastAsia" w:ascii="宋体" w:hAnsi="宋体" w:eastAsia="宋体" w:cs="仿宋_GB2312"/>
        <w:sz w:val="30"/>
        <w:szCs w:val="30"/>
      </w:rPr>
    </w:sdtEndPr>
    <w:sdtContent>
      <w:p w14:paraId="5F80A898">
        <w:pPr>
          <w:pStyle w:val="11"/>
          <w:ind w:firstLine="360"/>
          <w:jc w:val="cente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PAGE   \* MERGEFORMAT</w:instrText>
        </w:r>
        <w:r>
          <w:rPr>
            <w:rFonts w:hint="eastAsia" w:ascii="仿宋_GB2312" w:hAnsi="仿宋_GB2312" w:eastAsia="仿宋_GB2312" w:cs="仿宋_GB2312"/>
            <w:sz w:val="30"/>
            <w:szCs w:val="30"/>
          </w:rPr>
          <w:fldChar w:fldCharType="separate"/>
        </w:r>
        <w:r>
          <w:rPr>
            <w:rFonts w:ascii="仿宋_GB2312" w:hAnsi="仿宋_GB2312" w:eastAsia="仿宋_GB2312" w:cs="仿宋_GB2312"/>
            <w:sz w:val="30"/>
            <w:szCs w:val="30"/>
            <w:lang w:val="zh-CN"/>
          </w:rPr>
          <w:t>5</w:t>
        </w:r>
        <w:r>
          <w:rPr>
            <w:rFonts w:hint="eastAsia" w:ascii="仿宋_GB2312" w:hAnsi="仿宋_GB2312" w:eastAsia="仿宋_GB2312" w:cs="仿宋_GB2312"/>
            <w:sz w:val="30"/>
            <w:szCs w:val="30"/>
          </w:rPr>
          <w:fldChar w:fldCharType="end"/>
        </w:r>
      </w:p>
    </w:sdtContent>
  </w:sdt>
  <w:p w14:paraId="7D8BAC27">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hAnsi="仿宋_GB2312" w:eastAsia="仿宋_GB2312" w:cs="仿宋_GB2312"/>
        <w:sz w:val="30"/>
        <w:szCs w:val="30"/>
      </w:rPr>
      <w:id w:val="-2040965793"/>
    </w:sdtPr>
    <w:sdtEndPr>
      <w:rPr>
        <w:rFonts w:hint="eastAsia" w:ascii="宋体" w:hAnsi="宋体" w:eastAsia="宋体" w:cs="仿宋_GB2312"/>
        <w:sz w:val="30"/>
        <w:szCs w:val="30"/>
      </w:rPr>
    </w:sdtEndPr>
    <w:sdtContent>
      <w:p w14:paraId="15C4A55F">
        <w:pPr>
          <w:pStyle w:val="11"/>
          <w:ind w:firstLine="360"/>
          <w:jc w:val="cente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PAGE   \* MERGEFORMAT</w:instrText>
        </w:r>
        <w:r>
          <w:rPr>
            <w:rFonts w:hint="eastAsia" w:ascii="仿宋_GB2312" w:hAnsi="仿宋_GB2312" w:eastAsia="仿宋_GB2312" w:cs="仿宋_GB2312"/>
            <w:sz w:val="30"/>
            <w:szCs w:val="30"/>
          </w:rPr>
          <w:fldChar w:fldCharType="separate"/>
        </w:r>
        <w:r>
          <w:rPr>
            <w:rFonts w:ascii="仿宋_GB2312" w:hAnsi="仿宋_GB2312" w:eastAsia="仿宋_GB2312" w:cs="仿宋_GB2312"/>
            <w:sz w:val="30"/>
            <w:szCs w:val="30"/>
            <w:lang w:val="zh-CN"/>
          </w:rPr>
          <w:t>21</w:t>
        </w:r>
        <w:r>
          <w:rPr>
            <w:rFonts w:hint="eastAsia" w:ascii="仿宋_GB2312" w:hAnsi="仿宋_GB2312" w:eastAsia="仿宋_GB2312" w:cs="仿宋_GB2312"/>
            <w:sz w:val="30"/>
            <w:szCs w:val="30"/>
          </w:rPr>
          <w:fldChar w:fldCharType="end"/>
        </w:r>
      </w:p>
    </w:sdtContent>
  </w:sdt>
  <w:p w14:paraId="166B2038">
    <w:pPr>
      <w:ind w:firstLine="42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DC1CF8"/>
    <w:multiLevelType w:val="singleLevel"/>
    <w:tmpl w:val="7CDC1C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yMDA4ODVkYzIwZTZlMGY5ZjRjMWEzMDEwNjZlODUifQ=="/>
  </w:docVars>
  <w:rsids>
    <w:rsidRoot w:val="005068E3"/>
    <w:rsid w:val="00004673"/>
    <w:rsid w:val="000143C9"/>
    <w:rsid w:val="0001538F"/>
    <w:rsid w:val="0001713D"/>
    <w:rsid w:val="0002471D"/>
    <w:rsid w:val="00025F6B"/>
    <w:rsid w:val="000307C6"/>
    <w:rsid w:val="00033F05"/>
    <w:rsid w:val="000343CC"/>
    <w:rsid w:val="000410AC"/>
    <w:rsid w:val="00041C1A"/>
    <w:rsid w:val="00042FD3"/>
    <w:rsid w:val="00061F5D"/>
    <w:rsid w:val="00062298"/>
    <w:rsid w:val="00070B62"/>
    <w:rsid w:val="0007698D"/>
    <w:rsid w:val="00082365"/>
    <w:rsid w:val="00083A88"/>
    <w:rsid w:val="000853D1"/>
    <w:rsid w:val="0008574E"/>
    <w:rsid w:val="000875FE"/>
    <w:rsid w:val="00090373"/>
    <w:rsid w:val="000A1558"/>
    <w:rsid w:val="000A1D95"/>
    <w:rsid w:val="000A531A"/>
    <w:rsid w:val="000A575C"/>
    <w:rsid w:val="000A6B84"/>
    <w:rsid w:val="000B1311"/>
    <w:rsid w:val="000B38CC"/>
    <w:rsid w:val="000C024B"/>
    <w:rsid w:val="000C045A"/>
    <w:rsid w:val="000C3E91"/>
    <w:rsid w:val="000C4CE9"/>
    <w:rsid w:val="000D28F7"/>
    <w:rsid w:val="000D36E7"/>
    <w:rsid w:val="000D4BFC"/>
    <w:rsid w:val="000D4D8E"/>
    <w:rsid w:val="000E07AC"/>
    <w:rsid w:val="000E4003"/>
    <w:rsid w:val="000F01F3"/>
    <w:rsid w:val="000F6EFB"/>
    <w:rsid w:val="00103B95"/>
    <w:rsid w:val="00104BBA"/>
    <w:rsid w:val="00105BF2"/>
    <w:rsid w:val="00106B8B"/>
    <w:rsid w:val="001070C4"/>
    <w:rsid w:val="00110449"/>
    <w:rsid w:val="00111C38"/>
    <w:rsid w:val="00112AF0"/>
    <w:rsid w:val="00114E66"/>
    <w:rsid w:val="00115DF6"/>
    <w:rsid w:val="00116D1B"/>
    <w:rsid w:val="001202A5"/>
    <w:rsid w:val="00120452"/>
    <w:rsid w:val="00130AB9"/>
    <w:rsid w:val="0013217C"/>
    <w:rsid w:val="00132D7B"/>
    <w:rsid w:val="001340F9"/>
    <w:rsid w:val="0013693E"/>
    <w:rsid w:val="00136DCF"/>
    <w:rsid w:val="00137C9C"/>
    <w:rsid w:val="00143C26"/>
    <w:rsid w:val="00151FFE"/>
    <w:rsid w:val="001550CF"/>
    <w:rsid w:val="001563BE"/>
    <w:rsid w:val="0016077D"/>
    <w:rsid w:val="00163F6F"/>
    <w:rsid w:val="00170594"/>
    <w:rsid w:val="001718C7"/>
    <w:rsid w:val="001737AF"/>
    <w:rsid w:val="00173C3E"/>
    <w:rsid w:val="00175A01"/>
    <w:rsid w:val="0018629E"/>
    <w:rsid w:val="00186DA4"/>
    <w:rsid w:val="00190E0B"/>
    <w:rsid w:val="0019135A"/>
    <w:rsid w:val="001922A8"/>
    <w:rsid w:val="00192725"/>
    <w:rsid w:val="001927C5"/>
    <w:rsid w:val="00197F3D"/>
    <w:rsid w:val="001A79B4"/>
    <w:rsid w:val="001B1BBA"/>
    <w:rsid w:val="001B44E8"/>
    <w:rsid w:val="001B4EC9"/>
    <w:rsid w:val="001B4F59"/>
    <w:rsid w:val="001D0C66"/>
    <w:rsid w:val="001E3207"/>
    <w:rsid w:val="001E4963"/>
    <w:rsid w:val="001E5D73"/>
    <w:rsid w:val="001F2344"/>
    <w:rsid w:val="001F27CE"/>
    <w:rsid w:val="001F2B59"/>
    <w:rsid w:val="001F2E13"/>
    <w:rsid w:val="001F408E"/>
    <w:rsid w:val="001F6753"/>
    <w:rsid w:val="00200038"/>
    <w:rsid w:val="002034CF"/>
    <w:rsid w:val="00204172"/>
    <w:rsid w:val="0020517B"/>
    <w:rsid w:val="00212807"/>
    <w:rsid w:val="00213E2A"/>
    <w:rsid w:val="002158BF"/>
    <w:rsid w:val="00220F73"/>
    <w:rsid w:val="0022389E"/>
    <w:rsid w:val="00224BBE"/>
    <w:rsid w:val="002339E8"/>
    <w:rsid w:val="002375A3"/>
    <w:rsid w:val="002404B5"/>
    <w:rsid w:val="00245644"/>
    <w:rsid w:val="00246A98"/>
    <w:rsid w:val="00252527"/>
    <w:rsid w:val="00256F62"/>
    <w:rsid w:val="00260725"/>
    <w:rsid w:val="00263C17"/>
    <w:rsid w:val="00270408"/>
    <w:rsid w:val="0027082D"/>
    <w:rsid w:val="00271AC7"/>
    <w:rsid w:val="00275A80"/>
    <w:rsid w:val="00285F33"/>
    <w:rsid w:val="00287C1B"/>
    <w:rsid w:val="0029735F"/>
    <w:rsid w:val="002A49B0"/>
    <w:rsid w:val="002B2749"/>
    <w:rsid w:val="002B2A69"/>
    <w:rsid w:val="002B3F71"/>
    <w:rsid w:val="002C0755"/>
    <w:rsid w:val="002C0EAB"/>
    <w:rsid w:val="002C45AB"/>
    <w:rsid w:val="002D2C09"/>
    <w:rsid w:val="002D5B43"/>
    <w:rsid w:val="002D7EFC"/>
    <w:rsid w:val="002E04D7"/>
    <w:rsid w:val="002E3594"/>
    <w:rsid w:val="002E568B"/>
    <w:rsid w:val="002F0AA4"/>
    <w:rsid w:val="002F172D"/>
    <w:rsid w:val="002F29B3"/>
    <w:rsid w:val="002F4526"/>
    <w:rsid w:val="002F623B"/>
    <w:rsid w:val="00300966"/>
    <w:rsid w:val="0030673E"/>
    <w:rsid w:val="00311123"/>
    <w:rsid w:val="003112B7"/>
    <w:rsid w:val="00311E5F"/>
    <w:rsid w:val="00323FC2"/>
    <w:rsid w:val="00325AC3"/>
    <w:rsid w:val="00325DD1"/>
    <w:rsid w:val="00327523"/>
    <w:rsid w:val="00330A08"/>
    <w:rsid w:val="00331073"/>
    <w:rsid w:val="0033238E"/>
    <w:rsid w:val="00334ACF"/>
    <w:rsid w:val="0034011A"/>
    <w:rsid w:val="0034541B"/>
    <w:rsid w:val="0034678E"/>
    <w:rsid w:val="00347C24"/>
    <w:rsid w:val="00351379"/>
    <w:rsid w:val="0035219B"/>
    <w:rsid w:val="00353139"/>
    <w:rsid w:val="00355513"/>
    <w:rsid w:val="00356B59"/>
    <w:rsid w:val="00357583"/>
    <w:rsid w:val="003634A5"/>
    <w:rsid w:val="00363FD2"/>
    <w:rsid w:val="0036426E"/>
    <w:rsid w:val="00364652"/>
    <w:rsid w:val="00365933"/>
    <w:rsid w:val="003659DF"/>
    <w:rsid w:val="003670C5"/>
    <w:rsid w:val="00371415"/>
    <w:rsid w:val="003723C6"/>
    <w:rsid w:val="003734EF"/>
    <w:rsid w:val="0038272E"/>
    <w:rsid w:val="00397012"/>
    <w:rsid w:val="003977AC"/>
    <w:rsid w:val="003A6648"/>
    <w:rsid w:val="003A72AF"/>
    <w:rsid w:val="003A78CB"/>
    <w:rsid w:val="003B3902"/>
    <w:rsid w:val="003B3E93"/>
    <w:rsid w:val="003B50E3"/>
    <w:rsid w:val="003C0A47"/>
    <w:rsid w:val="003C0BFD"/>
    <w:rsid w:val="003C2445"/>
    <w:rsid w:val="003C2D73"/>
    <w:rsid w:val="003C34C2"/>
    <w:rsid w:val="003C3ECF"/>
    <w:rsid w:val="003C5206"/>
    <w:rsid w:val="003C5365"/>
    <w:rsid w:val="003C738D"/>
    <w:rsid w:val="003C7AD4"/>
    <w:rsid w:val="003D0F52"/>
    <w:rsid w:val="003E095E"/>
    <w:rsid w:val="003E1491"/>
    <w:rsid w:val="003E3E6C"/>
    <w:rsid w:val="003E52FD"/>
    <w:rsid w:val="003E7E23"/>
    <w:rsid w:val="003F6584"/>
    <w:rsid w:val="003F73D9"/>
    <w:rsid w:val="004008A9"/>
    <w:rsid w:val="004039D9"/>
    <w:rsid w:val="00407E28"/>
    <w:rsid w:val="00410EDE"/>
    <w:rsid w:val="00413D6D"/>
    <w:rsid w:val="00420753"/>
    <w:rsid w:val="004236DD"/>
    <w:rsid w:val="0042422E"/>
    <w:rsid w:val="0043157E"/>
    <w:rsid w:val="004344FA"/>
    <w:rsid w:val="004359AB"/>
    <w:rsid w:val="00437D79"/>
    <w:rsid w:val="00437E16"/>
    <w:rsid w:val="0044145D"/>
    <w:rsid w:val="0044189B"/>
    <w:rsid w:val="00446472"/>
    <w:rsid w:val="0045003B"/>
    <w:rsid w:val="00450464"/>
    <w:rsid w:val="0045434C"/>
    <w:rsid w:val="004545AE"/>
    <w:rsid w:val="0046091C"/>
    <w:rsid w:val="00467785"/>
    <w:rsid w:val="00467C7A"/>
    <w:rsid w:val="0047787C"/>
    <w:rsid w:val="004810A4"/>
    <w:rsid w:val="004819BD"/>
    <w:rsid w:val="0049159D"/>
    <w:rsid w:val="00491D1D"/>
    <w:rsid w:val="00495BE6"/>
    <w:rsid w:val="0049633B"/>
    <w:rsid w:val="004A73D3"/>
    <w:rsid w:val="004A7416"/>
    <w:rsid w:val="004A7C85"/>
    <w:rsid w:val="004B38F0"/>
    <w:rsid w:val="004B44AA"/>
    <w:rsid w:val="004B697A"/>
    <w:rsid w:val="004B742B"/>
    <w:rsid w:val="004C1912"/>
    <w:rsid w:val="004C34FA"/>
    <w:rsid w:val="004C37F4"/>
    <w:rsid w:val="004D06E1"/>
    <w:rsid w:val="004D3462"/>
    <w:rsid w:val="004D5E52"/>
    <w:rsid w:val="004D6E92"/>
    <w:rsid w:val="004E2744"/>
    <w:rsid w:val="004E3713"/>
    <w:rsid w:val="004E42B5"/>
    <w:rsid w:val="004E73E9"/>
    <w:rsid w:val="004F09CF"/>
    <w:rsid w:val="004F2D33"/>
    <w:rsid w:val="004F5ED2"/>
    <w:rsid w:val="004F7D11"/>
    <w:rsid w:val="005068E3"/>
    <w:rsid w:val="00507FF5"/>
    <w:rsid w:val="005100D1"/>
    <w:rsid w:val="0051236E"/>
    <w:rsid w:val="005133E0"/>
    <w:rsid w:val="00520B93"/>
    <w:rsid w:val="005236BE"/>
    <w:rsid w:val="005264A5"/>
    <w:rsid w:val="00527AD4"/>
    <w:rsid w:val="00531590"/>
    <w:rsid w:val="00535114"/>
    <w:rsid w:val="005375B0"/>
    <w:rsid w:val="00542AA8"/>
    <w:rsid w:val="005455CD"/>
    <w:rsid w:val="00545826"/>
    <w:rsid w:val="00546040"/>
    <w:rsid w:val="005516B9"/>
    <w:rsid w:val="0055721B"/>
    <w:rsid w:val="00565130"/>
    <w:rsid w:val="00566CE3"/>
    <w:rsid w:val="00571A18"/>
    <w:rsid w:val="00587F60"/>
    <w:rsid w:val="00590A17"/>
    <w:rsid w:val="0059471B"/>
    <w:rsid w:val="005953E5"/>
    <w:rsid w:val="005A00BC"/>
    <w:rsid w:val="005A1C25"/>
    <w:rsid w:val="005A1E31"/>
    <w:rsid w:val="005A2B3C"/>
    <w:rsid w:val="005A421A"/>
    <w:rsid w:val="005A4F92"/>
    <w:rsid w:val="005A6861"/>
    <w:rsid w:val="005B7913"/>
    <w:rsid w:val="005C014F"/>
    <w:rsid w:val="005C09B5"/>
    <w:rsid w:val="005C3077"/>
    <w:rsid w:val="005C4369"/>
    <w:rsid w:val="005C5098"/>
    <w:rsid w:val="005D0829"/>
    <w:rsid w:val="005D17CC"/>
    <w:rsid w:val="005D6A41"/>
    <w:rsid w:val="005E2734"/>
    <w:rsid w:val="005E5664"/>
    <w:rsid w:val="005E707B"/>
    <w:rsid w:val="005E77E3"/>
    <w:rsid w:val="005F3A42"/>
    <w:rsid w:val="005F3D51"/>
    <w:rsid w:val="006015D7"/>
    <w:rsid w:val="0060172D"/>
    <w:rsid w:val="00603830"/>
    <w:rsid w:val="00603F78"/>
    <w:rsid w:val="00605CF4"/>
    <w:rsid w:val="00606616"/>
    <w:rsid w:val="006211A1"/>
    <w:rsid w:val="00623A60"/>
    <w:rsid w:val="00626369"/>
    <w:rsid w:val="00632B60"/>
    <w:rsid w:val="00633FE6"/>
    <w:rsid w:val="00635A10"/>
    <w:rsid w:val="00640B10"/>
    <w:rsid w:val="00642D8E"/>
    <w:rsid w:val="00646602"/>
    <w:rsid w:val="00650DE2"/>
    <w:rsid w:val="00652F37"/>
    <w:rsid w:val="00654A8C"/>
    <w:rsid w:val="00655283"/>
    <w:rsid w:val="006621CE"/>
    <w:rsid w:val="0066255A"/>
    <w:rsid w:val="00663F0C"/>
    <w:rsid w:val="00664B7F"/>
    <w:rsid w:val="00665B14"/>
    <w:rsid w:val="00670A3F"/>
    <w:rsid w:val="00683623"/>
    <w:rsid w:val="006845CB"/>
    <w:rsid w:val="00687553"/>
    <w:rsid w:val="00691334"/>
    <w:rsid w:val="00692B2D"/>
    <w:rsid w:val="006979C9"/>
    <w:rsid w:val="006A33D1"/>
    <w:rsid w:val="006A3568"/>
    <w:rsid w:val="006B0088"/>
    <w:rsid w:val="006B0946"/>
    <w:rsid w:val="006B1A7B"/>
    <w:rsid w:val="006B480C"/>
    <w:rsid w:val="006B494E"/>
    <w:rsid w:val="006C05B8"/>
    <w:rsid w:val="006C17AC"/>
    <w:rsid w:val="006D2106"/>
    <w:rsid w:val="006D21B3"/>
    <w:rsid w:val="006E0981"/>
    <w:rsid w:val="006E1CFC"/>
    <w:rsid w:val="006E2AA6"/>
    <w:rsid w:val="006E3B38"/>
    <w:rsid w:val="006E7D45"/>
    <w:rsid w:val="006F1662"/>
    <w:rsid w:val="006F708D"/>
    <w:rsid w:val="006F7180"/>
    <w:rsid w:val="00700B07"/>
    <w:rsid w:val="00701A5F"/>
    <w:rsid w:val="00704FA3"/>
    <w:rsid w:val="0071594D"/>
    <w:rsid w:val="00715ABA"/>
    <w:rsid w:val="0071701B"/>
    <w:rsid w:val="00721BFE"/>
    <w:rsid w:val="00723663"/>
    <w:rsid w:val="00727DEF"/>
    <w:rsid w:val="00730E0A"/>
    <w:rsid w:val="007330D0"/>
    <w:rsid w:val="00736196"/>
    <w:rsid w:val="00741E20"/>
    <w:rsid w:val="00746B26"/>
    <w:rsid w:val="00747013"/>
    <w:rsid w:val="00750F8C"/>
    <w:rsid w:val="00755FBF"/>
    <w:rsid w:val="00757627"/>
    <w:rsid w:val="00760C5A"/>
    <w:rsid w:val="00760EBC"/>
    <w:rsid w:val="00761034"/>
    <w:rsid w:val="007675D9"/>
    <w:rsid w:val="00773529"/>
    <w:rsid w:val="00773719"/>
    <w:rsid w:val="00775428"/>
    <w:rsid w:val="00780EFC"/>
    <w:rsid w:val="00782929"/>
    <w:rsid w:val="00783094"/>
    <w:rsid w:val="0078657F"/>
    <w:rsid w:val="00786D01"/>
    <w:rsid w:val="00790E02"/>
    <w:rsid w:val="007940BF"/>
    <w:rsid w:val="007A2D36"/>
    <w:rsid w:val="007A68AE"/>
    <w:rsid w:val="007A7952"/>
    <w:rsid w:val="007B1490"/>
    <w:rsid w:val="007B4C52"/>
    <w:rsid w:val="007B6096"/>
    <w:rsid w:val="007B638B"/>
    <w:rsid w:val="007C195E"/>
    <w:rsid w:val="007D22A1"/>
    <w:rsid w:val="007D5AA1"/>
    <w:rsid w:val="007D6156"/>
    <w:rsid w:val="007D744F"/>
    <w:rsid w:val="007E1475"/>
    <w:rsid w:val="007E2475"/>
    <w:rsid w:val="007E3611"/>
    <w:rsid w:val="007E4645"/>
    <w:rsid w:val="007E4EC9"/>
    <w:rsid w:val="007E611D"/>
    <w:rsid w:val="007F2ABB"/>
    <w:rsid w:val="007F3751"/>
    <w:rsid w:val="007F7EAD"/>
    <w:rsid w:val="00800D77"/>
    <w:rsid w:val="008053D8"/>
    <w:rsid w:val="00805864"/>
    <w:rsid w:val="00813E71"/>
    <w:rsid w:val="00820D4F"/>
    <w:rsid w:val="008246D3"/>
    <w:rsid w:val="0082787F"/>
    <w:rsid w:val="008279D2"/>
    <w:rsid w:val="00832CDB"/>
    <w:rsid w:val="008334EC"/>
    <w:rsid w:val="0083422C"/>
    <w:rsid w:val="008370EC"/>
    <w:rsid w:val="00841C26"/>
    <w:rsid w:val="008421F4"/>
    <w:rsid w:val="008466BB"/>
    <w:rsid w:val="0084749B"/>
    <w:rsid w:val="00854CFA"/>
    <w:rsid w:val="00856B50"/>
    <w:rsid w:val="00857AE9"/>
    <w:rsid w:val="0086237B"/>
    <w:rsid w:val="0086311B"/>
    <w:rsid w:val="008648AB"/>
    <w:rsid w:val="0087200D"/>
    <w:rsid w:val="00873356"/>
    <w:rsid w:val="00873D3E"/>
    <w:rsid w:val="0087606E"/>
    <w:rsid w:val="00880371"/>
    <w:rsid w:val="0088080B"/>
    <w:rsid w:val="00881F8C"/>
    <w:rsid w:val="00885E64"/>
    <w:rsid w:val="0089029A"/>
    <w:rsid w:val="008911F3"/>
    <w:rsid w:val="008915AE"/>
    <w:rsid w:val="008949AD"/>
    <w:rsid w:val="0089731F"/>
    <w:rsid w:val="00897582"/>
    <w:rsid w:val="008A0CAC"/>
    <w:rsid w:val="008A0EAD"/>
    <w:rsid w:val="008A2F51"/>
    <w:rsid w:val="008B1E0A"/>
    <w:rsid w:val="008B4BFC"/>
    <w:rsid w:val="008B7C1C"/>
    <w:rsid w:val="008C304B"/>
    <w:rsid w:val="008C56B9"/>
    <w:rsid w:val="008D228A"/>
    <w:rsid w:val="008D32C6"/>
    <w:rsid w:val="008D4410"/>
    <w:rsid w:val="008D45AD"/>
    <w:rsid w:val="008E0FB8"/>
    <w:rsid w:val="008E7075"/>
    <w:rsid w:val="008E73AD"/>
    <w:rsid w:val="008F12B9"/>
    <w:rsid w:val="008F38B5"/>
    <w:rsid w:val="008F3F72"/>
    <w:rsid w:val="008F7378"/>
    <w:rsid w:val="0090585E"/>
    <w:rsid w:val="009067F6"/>
    <w:rsid w:val="00906D22"/>
    <w:rsid w:val="0090764B"/>
    <w:rsid w:val="009102B7"/>
    <w:rsid w:val="00911156"/>
    <w:rsid w:val="009115E4"/>
    <w:rsid w:val="009141CC"/>
    <w:rsid w:val="00920560"/>
    <w:rsid w:val="00921593"/>
    <w:rsid w:val="00921FEC"/>
    <w:rsid w:val="0093453C"/>
    <w:rsid w:val="009362FE"/>
    <w:rsid w:val="00936F89"/>
    <w:rsid w:val="00940C39"/>
    <w:rsid w:val="009432CB"/>
    <w:rsid w:val="009435EF"/>
    <w:rsid w:val="00946528"/>
    <w:rsid w:val="00961278"/>
    <w:rsid w:val="00964A64"/>
    <w:rsid w:val="00967356"/>
    <w:rsid w:val="0097360D"/>
    <w:rsid w:val="00973C42"/>
    <w:rsid w:val="00980B20"/>
    <w:rsid w:val="00981DA1"/>
    <w:rsid w:val="009834D3"/>
    <w:rsid w:val="00985286"/>
    <w:rsid w:val="0098690D"/>
    <w:rsid w:val="009869EF"/>
    <w:rsid w:val="0098715C"/>
    <w:rsid w:val="0098724B"/>
    <w:rsid w:val="00987391"/>
    <w:rsid w:val="00987A9B"/>
    <w:rsid w:val="009911C6"/>
    <w:rsid w:val="0099342B"/>
    <w:rsid w:val="009948B4"/>
    <w:rsid w:val="009A04C7"/>
    <w:rsid w:val="009A1CA7"/>
    <w:rsid w:val="009B013E"/>
    <w:rsid w:val="009B2113"/>
    <w:rsid w:val="009B24CA"/>
    <w:rsid w:val="009B6368"/>
    <w:rsid w:val="009B7B40"/>
    <w:rsid w:val="009C0A4D"/>
    <w:rsid w:val="009C6A1F"/>
    <w:rsid w:val="009D1EA8"/>
    <w:rsid w:val="009D2179"/>
    <w:rsid w:val="009D6115"/>
    <w:rsid w:val="009D7021"/>
    <w:rsid w:val="009E2032"/>
    <w:rsid w:val="009E7795"/>
    <w:rsid w:val="009F2679"/>
    <w:rsid w:val="009F3364"/>
    <w:rsid w:val="009F5147"/>
    <w:rsid w:val="00A05E30"/>
    <w:rsid w:val="00A075AF"/>
    <w:rsid w:val="00A07BA3"/>
    <w:rsid w:val="00A1698A"/>
    <w:rsid w:val="00A2093C"/>
    <w:rsid w:val="00A26A55"/>
    <w:rsid w:val="00A2766E"/>
    <w:rsid w:val="00A27CB7"/>
    <w:rsid w:val="00A3196C"/>
    <w:rsid w:val="00A337EE"/>
    <w:rsid w:val="00A33FFC"/>
    <w:rsid w:val="00A358CF"/>
    <w:rsid w:val="00A37703"/>
    <w:rsid w:val="00A4040A"/>
    <w:rsid w:val="00A4604E"/>
    <w:rsid w:val="00A51A72"/>
    <w:rsid w:val="00A52FA9"/>
    <w:rsid w:val="00A5322E"/>
    <w:rsid w:val="00A57C86"/>
    <w:rsid w:val="00A600D0"/>
    <w:rsid w:val="00A60840"/>
    <w:rsid w:val="00A6445E"/>
    <w:rsid w:val="00A650D0"/>
    <w:rsid w:val="00A65DAE"/>
    <w:rsid w:val="00A736FF"/>
    <w:rsid w:val="00A762FC"/>
    <w:rsid w:val="00A82DD4"/>
    <w:rsid w:val="00A83AD0"/>
    <w:rsid w:val="00A854F5"/>
    <w:rsid w:val="00A9216A"/>
    <w:rsid w:val="00A94050"/>
    <w:rsid w:val="00AA2796"/>
    <w:rsid w:val="00AA5906"/>
    <w:rsid w:val="00AA5D7C"/>
    <w:rsid w:val="00AB1D34"/>
    <w:rsid w:val="00AB262E"/>
    <w:rsid w:val="00AC2E88"/>
    <w:rsid w:val="00AC6713"/>
    <w:rsid w:val="00AC6BE5"/>
    <w:rsid w:val="00AD050D"/>
    <w:rsid w:val="00AD7E8B"/>
    <w:rsid w:val="00AE15DB"/>
    <w:rsid w:val="00AE5312"/>
    <w:rsid w:val="00AE5511"/>
    <w:rsid w:val="00AF1A6B"/>
    <w:rsid w:val="00AF6330"/>
    <w:rsid w:val="00AF6679"/>
    <w:rsid w:val="00B00766"/>
    <w:rsid w:val="00B010E5"/>
    <w:rsid w:val="00B0672F"/>
    <w:rsid w:val="00B11192"/>
    <w:rsid w:val="00B20772"/>
    <w:rsid w:val="00B25F1F"/>
    <w:rsid w:val="00B30341"/>
    <w:rsid w:val="00B32899"/>
    <w:rsid w:val="00B33FAA"/>
    <w:rsid w:val="00B3609D"/>
    <w:rsid w:val="00B36EFF"/>
    <w:rsid w:val="00B45E5F"/>
    <w:rsid w:val="00B46884"/>
    <w:rsid w:val="00B5072B"/>
    <w:rsid w:val="00B54767"/>
    <w:rsid w:val="00B55A96"/>
    <w:rsid w:val="00B55B19"/>
    <w:rsid w:val="00B55CEB"/>
    <w:rsid w:val="00B63F64"/>
    <w:rsid w:val="00B6512A"/>
    <w:rsid w:val="00B65CB9"/>
    <w:rsid w:val="00B70426"/>
    <w:rsid w:val="00B70DB1"/>
    <w:rsid w:val="00B739C4"/>
    <w:rsid w:val="00B76641"/>
    <w:rsid w:val="00B767F7"/>
    <w:rsid w:val="00B77C86"/>
    <w:rsid w:val="00B9491E"/>
    <w:rsid w:val="00BA223D"/>
    <w:rsid w:val="00BA4409"/>
    <w:rsid w:val="00BA490D"/>
    <w:rsid w:val="00BA4A80"/>
    <w:rsid w:val="00BA4D72"/>
    <w:rsid w:val="00BC36C4"/>
    <w:rsid w:val="00BD1415"/>
    <w:rsid w:val="00BD7791"/>
    <w:rsid w:val="00BE3EA9"/>
    <w:rsid w:val="00BF1E98"/>
    <w:rsid w:val="00BF21CD"/>
    <w:rsid w:val="00BF65E8"/>
    <w:rsid w:val="00C0113E"/>
    <w:rsid w:val="00C01E62"/>
    <w:rsid w:val="00C029CE"/>
    <w:rsid w:val="00C03D44"/>
    <w:rsid w:val="00C058C2"/>
    <w:rsid w:val="00C078C9"/>
    <w:rsid w:val="00C1098A"/>
    <w:rsid w:val="00C12E29"/>
    <w:rsid w:val="00C2052F"/>
    <w:rsid w:val="00C21D68"/>
    <w:rsid w:val="00C2402A"/>
    <w:rsid w:val="00C240CA"/>
    <w:rsid w:val="00C241DF"/>
    <w:rsid w:val="00C27EC0"/>
    <w:rsid w:val="00C35202"/>
    <w:rsid w:val="00C35A3F"/>
    <w:rsid w:val="00C40E26"/>
    <w:rsid w:val="00C40E75"/>
    <w:rsid w:val="00C4619E"/>
    <w:rsid w:val="00C46BB2"/>
    <w:rsid w:val="00C47720"/>
    <w:rsid w:val="00C51615"/>
    <w:rsid w:val="00C518E4"/>
    <w:rsid w:val="00C52D01"/>
    <w:rsid w:val="00C53EAE"/>
    <w:rsid w:val="00C55E7F"/>
    <w:rsid w:val="00C56A7C"/>
    <w:rsid w:val="00C625C4"/>
    <w:rsid w:val="00C654A0"/>
    <w:rsid w:val="00C70EB2"/>
    <w:rsid w:val="00C71934"/>
    <w:rsid w:val="00C7219C"/>
    <w:rsid w:val="00C75905"/>
    <w:rsid w:val="00C76017"/>
    <w:rsid w:val="00C81908"/>
    <w:rsid w:val="00C9100E"/>
    <w:rsid w:val="00C9578D"/>
    <w:rsid w:val="00C968F0"/>
    <w:rsid w:val="00CA0E51"/>
    <w:rsid w:val="00CA13E4"/>
    <w:rsid w:val="00CA19FE"/>
    <w:rsid w:val="00CB104D"/>
    <w:rsid w:val="00CB22E6"/>
    <w:rsid w:val="00CB4CBA"/>
    <w:rsid w:val="00CB51AD"/>
    <w:rsid w:val="00CC524F"/>
    <w:rsid w:val="00CC6BD6"/>
    <w:rsid w:val="00CD3200"/>
    <w:rsid w:val="00CD3253"/>
    <w:rsid w:val="00CD46A9"/>
    <w:rsid w:val="00CD56E9"/>
    <w:rsid w:val="00CD5E61"/>
    <w:rsid w:val="00CD651B"/>
    <w:rsid w:val="00CE033F"/>
    <w:rsid w:val="00CF0FC2"/>
    <w:rsid w:val="00CF233A"/>
    <w:rsid w:val="00CF3C5A"/>
    <w:rsid w:val="00CF4079"/>
    <w:rsid w:val="00D02DE1"/>
    <w:rsid w:val="00D042D3"/>
    <w:rsid w:val="00D072BB"/>
    <w:rsid w:val="00D116CC"/>
    <w:rsid w:val="00D12A95"/>
    <w:rsid w:val="00D17692"/>
    <w:rsid w:val="00D231C8"/>
    <w:rsid w:val="00D23A70"/>
    <w:rsid w:val="00D27B26"/>
    <w:rsid w:val="00D309C4"/>
    <w:rsid w:val="00D332C2"/>
    <w:rsid w:val="00D40C69"/>
    <w:rsid w:val="00D42E38"/>
    <w:rsid w:val="00D45CC6"/>
    <w:rsid w:val="00D503AA"/>
    <w:rsid w:val="00D50B87"/>
    <w:rsid w:val="00D53203"/>
    <w:rsid w:val="00D54F4A"/>
    <w:rsid w:val="00D56663"/>
    <w:rsid w:val="00D6007D"/>
    <w:rsid w:val="00D632D1"/>
    <w:rsid w:val="00D6743A"/>
    <w:rsid w:val="00D67778"/>
    <w:rsid w:val="00D67EDE"/>
    <w:rsid w:val="00D713F0"/>
    <w:rsid w:val="00D72E4F"/>
    <w:rsid w:val="00D80E25"/>
    <w:rsid w:val="00D84A9F"/>
    <w:rsid w:val="00D85471"/>
    <w:rsid w:val="00D91EEB"/>
    <w:rsid w:val="00D933C6"/>
    <w:rsid w:val="00D942C4"/>
    <w:rsid w:val="00D95436"/>
    <w:rsid w:val="00DA3336"/>
    <w:rsid w:val="00DA41FA"/>
    <w:rsid w:val="00DB0653"/>
    <w:rsid w:val="00DB3FE9"/>
    <w:rsid w:val="00DB5169"/>
    <w:rsid w:val="00DC047A"/>
    <w:rsid w:val="00DC2D1F"/>
    <w:rsid w:val="00DC2E40"/>
    <w:rsid w:val="00DC322A"/>
    <w:rsid w:val="00DC3C00"/>
    <w:rsid w:val="00DC43B4"/>
    <w:rsid w:val="00DC5FD9"/>
    <w:rsid w:val="00DD0443"/>
    <w:rsid w:val="00DD2279"/>
    <w:rsid w:val="00DD6F0B"/>
    <w:rsid w:val="00DD7CD2"/>
    <w:rsid w:val="00DE0AFD"/>
    <w:rsid w:val="00DE117C"/>
    <w:rsid w:val="00DE27C6"/>
    <w:rsid w:val="00DE3AF6"/>
    <w:rsid w:val="00DE422E"/>
    <w:rsid w:val="00DE530F"/>
    <w:rsid w:val="00DE5E1E"/>
    <w:rsid w:val="00DE5F59"/>
    <w:rsid w:val="00DE6696"/>
    <w:rsid w:val="00DE7C20"/>
    <w:rsid w:val="00DF0244"/>
    <w:rsid w:val="00DF0640"/>
    <w:rsid w:val="00DF373A"/>
    <w:rsid w:val="00DF55E6"/>
    <w:rsid w:val="00E01C20"/>
    <w:rsid w:val="00E059D3"/>
    <w:rsid w:val="00E06910"/>
    <w:rsid w:val="00E10E1B"/>
    <w:rsid w:val="00E160B8"/>
    <w:rsid w:val="00E16DFA"/>
    <w:rsid w:val="00E22B5D"/>
    <w:rsid w:val="00E22DC8"/>
    <w:rsid w:val="00E23320"/>
    <w:rsid w:val="00E24DF0"/>
    <w:rsid w:val="00E327F2"/>
    <w:rsid w:val="00E33248"/>
    <w:rsid w:val="00E33BAC"/>
    <w:rsid w:val="00E33ECE"/>
    <w:rsid w:val="00E34955"/>
    <w:rsid w:val="00E3626B"/>
    <w:rsid w:val="00E37B17"/>
    <w:rsid w:val="00E41E4D"/>
    <w:rsid w:val="00E4319E"/>
    <w:rsid w:val="00E44252"/>
    <w:rsid w:val="00E50626"/>
    <w:rsid w:val="00E54244"/>
    <w:rsid w:val="00E71E91"/>
    <w:rsid w:val="00E73B67"/>
    <w:rsid w:val="00E756A0"/>
    <w:rsid w:val="00E7756D"/>
    <w:rsid w:val="00E7790D"/>
    <w:rsid w:val="00E839B0"/>
    <w:rsid w:val="00E94494"/>
    <w:rsid w:val="00EA04D8"/>
    <w:rsid w:val="00EA4BE9"/>
    <w:rsid w:val="00EB2AE3"/>
    <w:rsid w:val="00EB3E88"/>
    <w:rsid w:val="00EB6C4D"/>
    <w:rsid w:val="00EB7B8B"/>
    <w:rsid w:val="00EC1B1F"/>
    <w:rsid w:val="00EC3B52"/>
    <w:rsid w:val="00ED6337"/>
    <w:rsid w:val="00ED6EBD"/>
    <w:rsid w:val="00EE07DF"/>
    <w:rsid w:val="00EE4E23"/>
    <w:rsid w:val="00EF1C39"/>
    <w:rsid w:val="00EF6087"/>
    <w:rsid w:val="00EF6221"/>
    <w:rsid w:val="00EF7BD6"/>
    <w:rsid w:val="00F03AA0"/>
    <w:rsid w:val="00F06370"/>
    <w:rsid w:val="00F17598"/>
    <w:rsid w:val="00F20570"/>
    <w:rsid w:val="00F21069"/>
    <w:rsid w:val="00F2168D"/>
    <w:rsid w:val="00F21C12"/>
    <w:rsid w:val="00F22B09"/>
    <w:rsid w:val="00F32082"/>
    <w:rsid w:val="00F32DF0"/>
    <w:rsid w:val="00F40573"/>
    <w:rsid w:val="00F407E0"/>
    <w:rsid w:val="00F420F0"/>
    <w:rsid w:val="00F42B4E"/>
    <w:rsid w:val="00F446FE"/>
    <w:rsid w:val="00F44AAD"/>
    <w:rsid w:val="00F44C87"/>
    <w:rsid w:val="00F453A9"/>
    <w:rsid w:val="00F46FE7"/>
    <w:rsid w:val="00F508FD"/>
    <w:rsid w:val="00F5282E"/>
    <w:rsid w:val="00F535B7"/>
    <w:rsid w:val="00F57070"/>
    <w:rsid w:val="00F571AC"/>
    <w:rsid w:val="00F650E6"/>
    <w:rsid w:val="00F656CC"/>
    <w:rsid w:val="00F65885"/>
    <w:rsid w:val="00F67F02"/>
    <w:rsid w:val="00F70578"/>
    <w:rsid w:val="00F73A93"/>
    <w:rsid w:val="00F73D35"/>
    <w:rsid w:val="00F766D9"/>
    <w:rsid w:val="00F77EA8"/>
    <w:rsid w:val="00F8111D"/>
    <w:rsid w:val="00F829D5"/>
    <w:rsid w:val="00F86745"/>
    <w:rsid w:val="00F92040"/>
    <w:rsid w:val="00F93A4E"/>
    <w:rsid w:val="00F9597F"/>
    <w:rsid w:val="00F9775D"/>
    <w:rsid w:val="00FA6088"/>
    <w:rsid w:val="00FA6FBC"/>
    <w:rsid w:val="00FA77D4"/>
    <w:rsid w:val="00FB0A8E"/>
    <w:rsid w:val="00FB1E0C"/>
    <w:rsid w:val="00FB2501"/>
    <w:rsid w:val="00FB2A83"/>
    <w:rsid w:val="00FB4886"/>
    <w:rsid w:val="00FB5BFA"/>
    <w:rsid w:val="00FB6CED"/>
    <w:rsid w:val="00FC176D"/>
    <w:rsid w:val="00FC305D"/>
    <w:rsid w:val="00FC49EB"/>
    <w:rsid w:val="00FC7780"/>
    <w:rsid w:val="00FD132B"/>
    <w:rsid w:val="00FD16E9"/>
    <w:rsid w:val="00FD3FF8"/>
    <w:rsid w:val="00FE0140"/>
    <w:rsid w:val="00FE02BB"/>
    <w:rsid w:val="00FE12DD"/>
    <w:rsid w:val="00FF4164"/>
    <w:rsid w:val="00FF4ADE"/>
    <w:rsid w:val="010827C0"/>
    <w:rsid w:val="01EF572E"/>
    <w:rsid w:val="02073235"/>
    <w:rsid w:val="02296E30"/>
    <w:rsid w:val="025843A5"/>
    <w:rsid w:val="02637D1E"/>
    <w:rsid w:val="029F762A"/>
    <w:rsid w:val="02EA2661"/>
    <w:rsid w:val="02F24C5C"/>
    <w:rsid w:val="02F93B17"/>
    <w:rsid w:val="03245AE8"/>
    <w:rsid w:val="033668D8"/>
    <w:rsid w:val="03AB330C"/>
    <w:rsid w:val="041F6E8E"/>
    <w:rsid w:val="046917C8"/>
    <w:rsid w:val="0478341B"/>
    <w:rsid w:val="047C599F"/>
    <w:rsid w:val="048605CC"/>
    <w:rsid w:val="04DE21B6"/>
    <w:rsid w:val="050134AC"/>
    <w:rsid w:val="05416E77"/>
    <w:rsid w:val="055B3806"/>
    <w:rsid w:val="058B29B7"/>
    <w:rsid w:val="05F02988"/>
    <w:rsid w:val="06464EB7"/>
    <w:rsid w:val="066E1128"/>
    <w:rsid w:val="06700718"/>
    <w:rsid w:val="06BA155D"/>
    <w:rsid w:val="06FD4A88"/>
    <w:rsid w:val="071A2045"/>
    <w:rsid w:val="072058AF"/>
    <w:rsid w:val="076B498B"/>
    <w:rsid w:val="07AE1D0E"/>
    <w:rsid w:val="082F2D28"/>
    <w:rsid w:val="08EC7DA7"/>
    <w:rsid w:val="090C1CD9"/>
    <w:rsid w:val="09776735"/>
    <w:rsid w:val="0A03621B"/>
    <w:rsid w:val="0AB37C41"/>
    <w:rsid w:val="0AF4773A"/>
    <w:rsid w:val="0AFB2D1C"/>
    <w:rsid w:val="0B7B2BF1"/>
    <w:rsid w:val="0CB75BFB"/>
    <w:rsid w:val="0CD21ED4"/>
    <w:rsid w:val="0D2B380A"/>
    <w:rsid w:val="0D37631D"/>
    <w:rsid w:val="0D466B4A"/>
    <w:rsid w:val="0D513438"/>
    <w:rsid w:val="0DD24882"/>
    <w:rsid w:val="0DD8630B"/>
    <w:rsid w:val="0DE06F85"/>
    <w:rsid w:val="0E622648"/>
    <w:rsid w:val="0E7E0566"/>
    <w:rsid w:val="0E8A43F3"/>
    <w:rsid w:val="0EAE7F1E"/>
    <w:rsid w:val="0F204823"/>
    <w:rsid w:val="0F3C4FD1"/>
    <w:rsid w:val="0F734E7E"/>
    <w:rsid w:val="0FB32491"/>
    <w:rsid w:val="10CF76D1"/>
    <w:rsid w:val="110765F0"/>
    <w:rsid w:val="11B36C68"/>
    <w:rsid w:val="11FD7115"/>
    <w:rsid w:val="12CB76BD"/>
    <w:rsid w:val="12FA0B60"/>
    <w:rsid w:val="13A20F2E"/>
    <w:rsid w:val="14072DAB"/>
    <w:rsid w:val="14284B14"/>
    <w:rsid w:val="149C07CF"/>
    <w:rsid w:val="149F45A3"/>
    <w:rsid w:val="14F84188"/>
    <w:rsid w:val="154D2A40"/>
    <w:rsid w:val="15CE592F"/>
    <w:rsid w:val="16161345"/>
    <w:rsid w:val="16BC7298"/>
    <w:rsid w:val="16CC1F01"/>
    <w:rsid w:val="17CC40CE"/>
    <w:rsid w:val="17DD3781"/>
    <w:rsid w:val="18070E65"/>
    <w:rsid w:val="180B0355"/>
    <w:rsid w:val="18270258"/>
    <w:rsid w:val="18552337"/>
    <w:rsid w:val="191E4488"/>
    <w:rsid w:val="19383421"/>
    <w:rsid w:val="1A2D1EAF"/>
    <w:rsid w:val="1A671ED8"/>
    <w:rsid w:val="1AAE21D3"/>
    <w:rsid w:val="1AC508A3"/>
    <w:rsid w:val="1B162396"/>
    <w:rsid w:val="1B3819F3"/>
    <w:rsid w:val="1B412331"/>
    <w:rsid w:val="1D55480D"/>
    <w:rsid w:val="1DA3770C"/>
    <w:rsid w:val="1DF708B6"/>
    <w:rsid w:val="1DFB7886"/>
    <w:rsid w:val="1E5B7F7C"/>
    <w:rsid w:val="1EAE09F3"/>
    <w:rsid w:val="1EB551DB"/>
    <w:rsid w:val="1EC56ACD"/>
    <w:rsid w:val="1EF75723"/>
    <w:rsid w:val="1F5F1CED"/>
    <w:rsid w:val="1FFA6E9B"/>
    <w:rsid w:val="201B6903"/>
    <w:rsid w:val="20254CE5"/>
    <w:rsid w:val="20517102"/>
    <w:rsid w:val="20573695"/>
    <w:rsid w:val="205DBF34"/>
    <w:rsid w:val="207D0964"/>
    <w:rsid w:val="211A006E"/>
    <w:rsid w:val="21535FCB"/>
    <w:rsid w:val="21621CBB"/>
    <w:rsid w:val="21D95D87"/>
    <w:rsid w:val="221B003E"/>
    <w:rsid w:val="225443E0"/>
    <w:rsid w:val="2255417B"/>
    <w:rsid w:val="226D60F0"/>
    <w:rsid w:val="228B397D"/>
    <w:rsid w:val="229B128E"/>
    <w:rsid w:val="22E6124F"/>
    <w:rsid w:val="23405F4C"/>
    <w:rsid w:val="237D5B8D"/>
    <w:rsid w:val="239214C6"/>
    <w:rsid w:val="2393640A"/>
    <w:rsid w:val="23BD5235"/>
    <w:rsid w:val="24354E67"/>
    <w:rsid w:val="24F37160"/>
    <w:rsid w:val="256C6F12"/>
    <w:rsid w:val="25757B75"/>
    <w:rsid w:val="25A675D6"/>
    <w:rsid w:val="25B70BD7"/>
    <w:rsid w:val="25DA3E7C"/>
    <w:rsid w:val="25FB05FB"/>
    <w:rsid w:val="261E584A"/>
    <w:rsid w:val="26236B94"/>
    <w:rsid w:val="26387CD4"/>
    <w:rsid w:val="266A5519"/>
    <w:rsid w:val="269A25D8"/>
    <w:rsid w:val="26CC10B7"/>
    <w:rsid w:val="26DE2734"/>
    <w:rsid w:val="272E0923"/>
    <w:rsid w:val="274710BE"/>
    <w:rsid w:val="27C77D4E"/>
    <w:rsid w:val="27FF5DF0"/>
    <w:rsid w:val="286946EB"/>
    <w:rsid w:val="288368DF"/>
    <w:rsid w:val="28DE4621"/>
    <w:rsid w:val="298A5BB9"/>
    <w:rsid w:val="2A090622"/>
    <w:rsid w:val="2A457AEB"/>
    <w:rsid w:val="2A712066"/>
    <w:rsid w:val="2B142BAC"/>
    <w:rsid w:val="2B2F6A1F"/>
    <w:rsid w:val="2B37126C"/>
    <w:rsid w:val="2BD35390"/>
    <w:rsid w:val="2BD53DFD"/>
    <w:rsid w:val="2BD60C2E"/>
    <w:rsid w:val="2BF55220"/>
    <w:rsid w:val="2C046D45"/>
    <w:rsid w:val="2C0B6123"/>
    <w:rsid w:val="2C486861"/>
    <w:rsid w:val="2C4B4D01"/>
    <w:rsid w:val="2C7B094A"/>
    <w:rsid w:val="2D531807"/>
    <w:rsid w:val="2DD815E9"/>
    <w:rsid w:val="2DEB3530"/>
    <w:rsid w:val="2E9077CD"/>
    <w:rsid w:val="2EAD4823"/>
    <w:rsid w:val="2EAF749F"/>
    <w:rsid w:val="2EDA313F"/>
    <w:rsid w:val="2F7610B9"/>
    <w:rsid w:val="2FB72630"/>
    <w:rsid w:val="2FBD63DD"/>
    <w:rsid w:val="3034687E"/>
    <w:rsid w:val="30920A31"/>
    <w:rsid w:val="30D35C44"/>
    <w:rsid w:val="314452A0"/>
    <w:rsid w:val="324A01A9"/>
    <w:rsid w:val="32582CF8"/>
    <w:rsid w:val="32755658"/>
    <w:rsid w:val="333A0650"/>
    <w:rsid w:val="340B3792"/>
    <w:rsid w:val="34C84488"/>
    <w:rsid w:val="3502780C"/>
    <w:rsid w:val="35142462"/>
    <w:rsid w:val="3530124D"/>
    <w:rsid w:val="35611EC4"/>
    <w:rsid w:val="36981DB9"/>
    <w:rsid w:val="36A857BA"/>
    <w:rsid w:val="36D745B1"/>
    <w:rsid w:val="37906B9D"/>
    <w:rsid w:val="37BFAF01"/>
    <w:rsid w:val="37C8627C"/>
    <w:rsid w:val="37DA4C08"/>
    <w:rsid w:val="37F5378E"/>
    <w:rsid w:val="38BD1B07"/>
    <w:rsid w:val="38DB29E0"/>
    <w:rsid w:val="38E3A9B8"/>
    <w:rsid w:val="39260729"/>
    <w:rsid w:val="3997E1A8"/>
    <w:rsid w:val="39E5593B"/>
    <w:rsid w:val="3A5A3C15"/>
    <w:rsid w:val="3AEA4709"/>
    <w:rsid w:val="3AFC7952"/>
    <w:rsid w:val="3B6FCC7F"/>
    <w:rsid w:val="3B954675"/>
    <w:rsid w:val="3BE90695"/>
    <w:rsid w:val="3BF21AC7"/>
    <w:rsid w:val="3C216780"/>
    <w:rsid w:val="3C357FBB"/>
    <w:rsid w:val="3CB51561"/>
    <w:rsid w:val="3CC374C0"/>
    <w:rsid w:val="3CE308EA"/>
    <w:rsid w:val="3DBF9577"/>
    <w:rsid w:val="3E31650F"/>
    <w:rsid w:val="3EA46B5D"/>
    <w:rsid w:val="3EC970E4"/>
    <w:rsid w:val="3ECC237B"/>
    <w:rsid w:val="3EDC27A6"/>
    <w:rsid w:val="3EE93B81"/>
    <w:rsid w:val="3EEFC8CF"/>
    <w:rsid w:val="3EFD6D36"/>
    <w:rsid w:val="3F5FD966"/>
    <w:rsid w:val="3F7600FB"/>
    <w:rsid w:val="3F7F1106"/>
    <w:rsid w:val="3F7F1FBC"/>
    <w:rsid w:val="3F8724D4"/>
    <w:rsid w:val="3F930830"/>
    <w:rsid w:val="3F96178F"/>
    <w:rsid w:val="3FAAFA0A"/>
    <w:rsid w:val="3FD648C7"/>
    <w:rsid w:val="3FDF05B5"/>
    <w:rsid w:val="3FF369B1"/>
    <w:rsid w:val="3FFAD542"/>
    <w:rsid w:val="41482072"/>
    <w:rsid w:val="419719C7"/>
    <w:rsid w:val="420757C4"/>
    <w:rsid w:val="427871AA"/>
    <w:rsid w:val="42984090"/>
    <w:rsid w:val="429F666D"/>
    <w:rsid w:val="43007F6E"/>
    <w:rsid w:val="432A5FEB"/>
    <w:rsid w:val="43552F8F"/>
    <w:rsid w:val="436C723C"/>
    <w:rsid w:val="443D4582"/>
    <w:rsid w:val="443F0ADE"/>
    <w:rsid w:val="44640D87"/>
    <w:rsid w:val="44983E14"/>
    <w:rsid w:val="44D64ED6"/>
    <w:rsid w:val="44E34E24"/>
    <w:rsid w:val="459B35BF"/>
    <w:rsid w:val="45C619DD"/>
    <w:rsid w:val="4614088C"/>
    <w:rsid w:val="46540183"/>
    <w:rsid w:val="474263CB"/>
    <w:rsid w:val="478657BA"/>
    <w:rsid w:val="48713109"/>
    <w:rsid w:val="4892366F"/>
    <w:rsid w:val="48D3654D"/>
    <w:rsid w:val="49481F00"/>
    <w:rsid w:val="49787384"/>
    <w:rsid w:val="49824751"/>
    <w:rsid w:val="499B5F99"/>
    <w:rsid w:val="49A5122E"/>
    <w:rsid w:val="49D2684D"/>
    <w:rsid w:val="4A3F5BE9"/>
    <w:rsid w:val="4AB30E09"/>
    <w:rsid w:val="4B602BB4"/>
    <w:rsid w:val="4BA803F5"/>
    <w:rsid w:val="4BCB6DAC"/>
    <w:rsid w:val="4BE618E1"/>
    <w:rsid w:val="4BFECABA"/>
    <w:rsid w:val="4C0468CB"/>
    <w:rsid w:val="4C0935FD"/>
    <w:rsid w:val="4C7D53DD"/>
    <w:rsid w:val="4D3A61C4"/>
    <w:rsid w:val="4D562462"/>
    <w:rsid w:val="4DB93CE6"/>
    <w:rsid w:val="4DF72F6D"/>
    <w:rsid w:val="4DFFB869"/>
    <w:rsid w:val="4E231FB4"/>
    <w:rsid w:val="4E760336"/>
    <w:rsid w:val="4F6B61E8"/>
    <w:rsid w:val="4F7BBE1E"/>
    <w:rsid w:val="4FAF8798"/>
    <w:rsid w:val="4FF29FBC"/>
    <w:rsid w:val="5007780E"/>
    <w:rsid w:val="50377AB0"/>
    <w:rsid w:val="507B4C85"/>
    <w:rsid w:val="50BB0AF2"/>
    <w:rsid w:val="51CF3EAB"/>
    <w:rsid w:val="520B76C5"/>
    <w:rsid w:val="525C3E87"/>
    <w:rsid w:val="525F2DE9"/>
    <w:rsid w:val="52FFD4A5"/>
    <w:rsid w:val="530C3017"/>
    <w:rsid w:val="538B6CA3"/>
    <w:rsid w:val="53BD6A5B"/>
    <w:rsid w:val="54256C07"/>
    <w:rsid w:val="55BB0D24"/>
    <w:rsid w:val="55BC0FF5"/>
    <w:rsid w:val="56027ADA"/>
    <w:rsid w:val="56293EE0"/>
    <w:rsid w:val="565250AC"/>
    <w:rsid w:val="565C10AE"/>
    <w:rsid w:val="566214A2"/>
    <w:rsid w:val="566A696C"/>
    <w:rsid w:val="566EFA6A"/>
    <w:rsid w:val="568270E9"/>
    <w:rsid w:val="56AD68BF"/>
    <w:rsid w:val="56DC2E51"/>
    <w:rsid w:val="56FD7D1F"/>
    <w:rsid w:val="57165B1A"/>
    <w:rsid w:val="57571CBA"/>
    <w:rsid w:val="577A4D63"/>
    <w:rsid w:val="593426AF"/>
    <w:rsid w:val="594C3F14"/>
    <w:rsid w:val="599B6DB6"/>
    <w:rsid w:val="59B85CA7"/>
    <w:rsid w:val="5A07278A"/>
    <w:rsid w:val="5A2C1916"/>
    <w:rsid w:val="5A4A08C9"/>
    <w:rsid w:val="5A7A1485"/>
    <w:rsid w:val="5AAE6C9E"/>
    <w:rsid w:val="5AEEA582"/>
    <w:rsid w:val="5B060C94"/>
    <w:rsid w:val="5B670F72"/>
    <w:rsid w:val="5BAFAE08"/>
    <w:rsid w:val="5BFF8EEA"/>
    <w:rsid w:val="5C5855A0"/>
    <w:rsid w:val="5CB52A92"/>
    <w:rsid w:val="5DF96257"/>
    <w:rsid w:val="5E043EE5"/>
    <w:rsid w:val="5EAC402E"/>
    <w:rsid w:val="5EE82911"/>
    <w:rsid w:val="5F337B7D"/>
    <w:rsid w:val="5F574C34"/>
    <w:rsid w:val="5F6FEEF7"/>
    <w:rsid w:val="5FD50C35"/>
    <w:rsid w:val="5FDDA2CE"/>
    <w:rsid w:val="603E4A2C"/>
    <w:rsid w:val="614F11DE"/>
    <w:rsid w:val="61EF9B58"/>
    <w:rsid w:val="6248521C"/>
    <w:rsid w:val="627A6905"/>
    <w:rsid w:val="627E6D10"/>
    <w:rsid w:val="6299163B"/>
    <w:rsid w:val="62BA15D3"/>
    <w:rsid w:val="633D546F"/>
    <w:rsid w:val="63520CB5"/>
    <w:rsid w:val="636801AD"/>
    <w:rsid w:val="645E6307"/>
    <w:rsid w:val="64616F3B"/>
    <w:rsid w:val="64A15589"/>
    <w:rsid w:val="64B95F10"/>
    <w:rsid w:val="64C744EE"/>
    <w:rsid w:val="64D16D8E"/>
    <w:rsid w:val="654E3963"/>
    <w:rsid w:val="65A43D18"/>
    <w:rsid w:val="661F0E5C"/>
    <w:rsid w:val="666FCD3F"/>
    <w:rsid w:val="6673696B"/>
    <w:rsid w:val="667F4902"/>
    <w:rsid w:val="66B202E7"/>
    <w:rsid w:val="671B3B8C"/>
    <w:rsid w:val="67404FA6"/>
    <w:rsid w:val="67A00AFE"/>
    <w:rsid w:val="67DFBF6E"/>
    <w:rsid w:val="67EFEE09"/>
    <w:rsid w:val="67F408E6"/>
    <w:rsid w:val="67FD0BB2"/>
    <w:rsid w:val="68541290"/>
    <w:rsid w:val="689A2A1B"/>
    <w:rsid w:val="692F2F45"/>
    <w:rsid w:val="69961435"/>
    <w:rsid w:val="69CF7B8D"/>
    <w:rsid w:val="69DD4F7C"/>
    <w:rsid w:val="6A7E6664"/>
    <w:rsid w:val="6A7E721F"/>
    <w:rsid w:val="6ADE3093"/>
    <w:rsid w:val="6B535EC4"/>
    <w:rsid w:val="6B8540F8"/>
    <w:rsid w:val="6BE6623C"/>
    <w:rsid w:val="6CEE3336"/>
    <w:rsid w:val="6D632F47"/>
    <w:rsid w:val="6DAF9836"/>
    <w:rsid w:val="6DBB552F"/>
    <w:rsid w:val="6DEC3D19"/>
    <w:rsid w:val="6EAA3313"/>
    <w:rsid w:val="6EC74D03"/>
    <w:rsid w:val="6F045092"/>
    <w:rsid w:val="6F1A2758"/>
    <w:rsid w:val="6F37998F"/>
    <w:rsid w:val="6F4976A7"/>
    <w:rsid w:val="6F7F382B"/>
    <w:rsid w:val="6FEC0000"/>
    <w:rsid w:val="6FFD3A89"/>
    <w:rsid w:val="705A5392"/>
    <w:rsid w:val="70AD0575"/>
    <w:rsid w:val="70DE203F"/>
    <w:rsid w:val="71185B4F"/>
    <w:rsid w:val="713515C2"/>
    <w:rsid w:val="71660E1F"/>
    <w:rsid w:val="71ED0060"/>
    <w:rsid w:val="7257439D"/>
    <w:rsid w:val="730D1F10"/>
    <w:rsid w:val="73812C97"/>
    <w:rsid w:val="73BE532B"/>
    <w:rsid w:val="74104710"/>
    <w:rsid w:val="742C5131"/>
    <w:rsid w:val="74497069"/>
    <w:rsid w:val="74FD2112"/>
    <w:rsid w:val="753F5076"/>
    <w:rsid w:val="75981E8B"/>
    <w:rsid w:val="75AE5B5F"/>
    <w:rsid w:val="75C55A4F"/>
    <w:rsid w:val="765A079C"/>
    <w:rsid w:val="76692017"/>
    <w:rsid w:val="773FD322"/>
    <w:rsid w:val="77792D07"/>
    <w:rsid w:val="779F053D"/>
    <w:rsid w:val="77E616E5"/>
    <w:rsid w:val="77F6FFAD"/>
    <w:rsid w:val="77F952C0"/>
    <w:rsid w:val="77FF1B5B"/>
    <w:rsid w:val="78176B3C"/>
    <w:rsid w:val="78731A3B"/>
    <w:rsid w:val="789A48B8"/>
    <w:rsid w:val="78A70F68"/>
    <w:rsid w:val="78D21D5D"/>
    <w:rsid w:val="78FE576E"/>
    <w:rsid w:val="79286575"/>
    <w:rsid w:val="792E6B3A"/>
    <w:rsid w:val="796A508E"/>
    <w:rsid w:val="797E7A2E"/>
    <w:rsid w:val="79EBDCEA"/>
    <w:rsid w:val="79EF706B"/>
    <w:rsid w:val="7A8F7F06"/>
    <w:rsid w:val="7ABBFEF7"/>
    <w:rsid w:val="7AC1533A"/>
    <w:rsid w:val="7AE56816"/>
    <w:rsid w:val="7B53559C"/>
    <w:rsid w:val="7B5504F3"/>
    <w:rsid w:val="7BA43E85"/>
    <w:rsid w:val="7BAD447A"/>
    <w:rsid w:val="7BBF1A17"/>
    <w:rsid w:val="7BEDFEDC"/>
    <w:rsid w:val="7BFD9180"/>
    <w:rsid w:val="7C194D97"/>
    <w:rsid w:val="7C78AB75"/>
    <w:rsid w:val="7CA67789"/>
    <w:rsid w:val="7CF98402"/>
    <w:rsid w:val="7D9FB894"/>
    <w:rsid w:val="7DB06B11"/>
    <w:rsid w:val="7DB9146E"/>
    <w:rsid w:val="7DCDAD54"/>
    <w:rsid w:val="7DDF7235"/>
    <w:rsid w:val="7DFF3234"/>
    <w:rsid w:val="7E033174"/>
    <w:rsid w:val="7EC63A1E"/>
    <w:rsid w:val="7F7DCD57"/>
    <w:rsid w:val="7F8B383B"/>
    <w:rsid w:val="7FB79A93"/>
    <w:rsid w:val="7FE9071C"/>
    <w:rsid w:val="7FEB5CBA"/>
    <w:rsid w:val="7FF68868"/>
    <w:rsid w:val="7FF708EF"/>
    <w:rsid w:val="7FFA8DDE"/>
    <w:rsid w:val="7FFC8E94"/>
    <w:rsid w:val="7FFE3AE7"/>
    <w:rsid w:val="7FFEAC7E"/>
    <w:rsid w:val="7FFFA156"/>
    <w:rsid w:val="8FFED111"/>
    <w:rsid w:val="97A7FFC8"/>
    <w:rsid w:val="97F3DC3B"/>
    <w:rsid w:val="9D0FCF6A"/>
    <w:rsid w:val="9E5F847D"/>
    <w:rsid w:val="9FE3854C"/>
    <w:rsid w:val="A27F41F3"/>
    <w:rsid w:val="A7CF3873"/>
    <w:rsid w:val="AF7653FB"/>
    <w:rsid w:val="B3BDE5AD"/>
    <w:rsid w:val="B3FF3E37"/>
    <w:rsid w:val="B7F9096C"/>
    <w:rsid w:val="BA7B23C6"/>
    <w:rsid w:val="BB828CE9"/>
    <w:rsid w:val="BBFEBC60"/>
    <w:rsid w:val="BC47DEA1"/>
    <w:rsid w:val="BDEFC85F"/>
    <w:rsid w:val="BDFDEA56"/>
    <w:rsid w:val="BF8F10AC"/>
    <w:rsid w:val="BFF77FD2"/>
    <w:rsid w:val="BFFF2EBB"/>
    <w:rsid w:val="CB4F60CC"/>
    <w:rsid w:val="D29F6231"/>
    <w:rsid w:val="D2BEE888"/>
    <w:rsid w:val="D4DB27B6"/>
    <w:rsid w:val="D65F3681"/>
    <w:rsid w:val="D9DD88CB"/>
    <w:rsid w:val="DBBFB4A5"/>
    <w:rsid w:val="DBFE1307"/>
    <w:rsid w:val="DEF72AE4"/>
    <w:rsid w:val="DF138826"/>
    <w:rsid w:val="DF355083"/>
    <w:rsid w:val="DF3FB08D"/>
    <w:rsid w:val="DF7D2D54"/>
    <w:rsid w:val="DFBFB320"/>
    <w:rsid w:val="DFC74BD7"/>
    <w:rsid w:val="DFDBA380"/>
    <w:rsid w:val="DFE51D32"/>
    <w:rsid w:val="DFFF0F7B"/>
    <w:rsid w:val="E4DFDD65"/>
    <w:rsid w:val="E66F37F8"/>
    <w:rsid w:val="E7FD305D"/>
    <w:rsid w:val="E9833C4D"/>
    <w:rsid w:val="E9EF2189"/>
    <w:rsid w:val="EBDEF1A3"/>
    <w:rsid w:val="ED766CE8"/>
    <w:rsid w:val="EDE7DCC2"/>
    <w:rsid w:val="EEF3A43E"/>
    <w:rsid w:val="EEFFA45A"/>
    <w:rsid w:val="EF4969BA"/>
    <w:rsid w:val="EF77B142"/>
    <w:rsid w:val="EF7B7487"/>
    <w:rsid w:val="EF7F969F"/>
    <w:rsid w:val="F1BD9030"/>
    <w:rsid w:val="F3FECB3D"/>
    <w:rsid w:val="F6BB8E58"/>
    <w:rsid w:val="F7BFF210"/>
    <w:rsid w:val="F8BD1B4D"/>
    <w:rsid w:val="F8EFB4C9"/>
    <w:rsid w:val="F9EFD265"/>
    <w:rsid w:val="FA7B7143"/>
    <w:rsid w:val="FB6CE3DC"/>
    <w:rsid w:val="FBBFBF3D"/>
    <w:rsid w:val="FBDBE8B1"/>
    <w:rsid w:val="FBDF9442"/>
    <w:rsid w:val="FBFBF0B0"/>
    <w:rsid w:val="FC7FCB35"/>
    <w:rsid w:val="FCFFC96E"/>
    <w:rsid w:val="FD379CFC"/>
    <w:rsid w:val="FDBDA38F"/>
    <w:rsid w:val="FDE7E669"/>
    <w:rsid w:val="FE73913A"/>
    <w:rsid w:val="FE772D73"/>
    <w:rsid w:val="FE7FBE25"/>
    <w:rsid w:val="FE9395BE"/>
    <w:rsid w:val="FEBCFAE7"/>
    <w:rsid w:val="FEFF5319"/>
    <w:rsid w:val="FF67DBA8"/>
    <w:rsid w:val="FF77282F"/>
    <w:rsid w:val="FF7BDC12"/>
    <w:rsid w:val="FF7E1483"/>
    <w:rsid w:val="FFB569D3"/>
    <w:rsid w:val="FFE53FB7"/>
    <w:rsid w:val="FFEED5EC"/>
    <w:rsid w:val="FFF3772D"/>
    <w:rsid w:val="FFF926DB"/>
    <w:rsid w:val="FFFA6F9A"/>
    <w:rsid w:val="FFFFF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4">
    <w:name w:val="heading 3"/>
    <w:basedOn w:val="1"/>
    <w:next w:val="1"/>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style>
  <w:style w:type="paragraph" w:styleId="6">
    <w:name w:val="annotation text"/>
    <w:basedOn w:val="1"/>
    <w:link w:val="25"/>
    <w:unhideWhenUsed/>
    <w:qFormat/>
    <w:uiPriority w:val="99"/>
    <w:pPr>
      <w:jc w:val="left"/>
    </w:pPr>
  </w:style>
  <w:style w:type="paragraph" w:styleId="7">
    <w:name w:val="Body Text"/>
    <w:basedOn w:val="1"/>
    <w:link w:val="27"/>
    <w:qFormat/>
    <w:uiPriority w:val="0"/>
    <w:pPr>
      <w:spacing w:after="120" w:line="440" w:lineRule="exact"/>
    </w:pPr>
    <w:rPr>
      <w:rFonts w:eastAsia="仿宋_GB2312"/>
      <w:sz w:val="32"/>
    </w:rPr>
  </w:style>
  <w:style w:type="paragraph" w:styleId="8">
    <w:name w:val="Body Text Indent"/>
    <w:basedOn w:val="1"/>
    <w:next w:val="9"/>
    <w:qFormat/>
    <w:uiPriority w:val="0"/>
    <w:pPr>
      <w:spacing w:line="360" w:lineRule="auto"/>
      <w:ind w:left="210" w:firstLine="630"/>
    </w:pPr>
    <w:rPr>
      <w:rFonts w:eastAsia="楷体_GB2312"/>
      <w:sz w:val="32"/>
      <w:szCs w:val="20"/>
    </w:rPr>
  </w:style>
  <w:style w:type="paragraph" w:styleId="9">
    <w:name w:val="Body Text First Indent 2"/>
    <w:basedOn w:val="8"/>
    <w:next w:val="1"/>
    <w:qFormat/>
    <w:uiPriority w:val="0"/>
    <w:pPr>
      <w:ind w:firstLine="420" w:firstLineChars="200"/>
    </w:pPr>
  </w:style>
  <w:style w:type="paragraph" w:styleId="10">
    <w:name w:val="Balloon Text"/>
    <w:basedOn w:val="1"/>
    <w:link w:val="29"/>
    <w:semiHidden/>
    <w:unhideWhenUsed/>
    <w:qFormat/>
    <w:uiPriority w:val="99"/>
    <w:rPr>
      <w:sz w:val="18"/>
      <w:szCs w:val="18"/>
    </w:rPr>
  </w:style>
  <w:style w:type="paragraph" w:styleId="11">
    <w:name w:val="footer"/>
    <w:basedOn w:val="1"/>
    <w:link w:val="2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2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Normal (Web)"/>
    <w:basedOn w:val="1"/>
    <w:semiHidden/>
    <w:unhideWhenUsed/>
    <w:qFormat/>
    <w:uiPriority w:val="99"/>
    <w:rPr>
      <w:sz w:val="24"/>
    </w:rPr>
  </w:style>
  <w:style w:type="paragraph" w:styleId="14">
    <w:name w:val="annotation subject"/>
    <w:basedOn w:val="6"/>
    <w:next w:val="6"/>
    <w:link w:val="26"/>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22"/>
    <w:rPr>
      <w:b/>
    </w:rPr>
  </w:style>
  <w:style w:type="character" w:styleId="19">
    <w:name w:val="annotation reference"/>
    <w:basedOn w:val="17"/>
    <w:semiHidden/>
    <w:unhideWhenUsed/>
    <w:qFormat/>
    <w:uiPriority w:val="99"/>
    <w:rPr>
      <w:sz w:val="21"/>
      <w:szCs w:val="21"/>
    </w:rPr>
  </w:style>
  <w:style w:type="character" w:customStyle="1" w:styleId="20">
    <w:name w:val="页眉 Char"/>
    <w:basedOn w:val="17"/>
    <w:link w:val="12"/>
    <w:qFormat/>
    <w:uiPriority w:val="99"/>
    <w:rPr>
      <w:sz w:val="18"/>
      <w:szCs w:val="18"/>
    </w:rPr>
  </w:style>
  <w:style w:type="character" w:customStyle="1" w:styleId="21">
    <w:name w:val="页脚 Char"/>
    <w:basedOn w:val="17"/>
    <w:link w:val="11"/>
    <w:qFormat/>
    <w:uiPriority w:val="99"/>
    <w:rPr>
      <w:sz w:val="18"/>
      <w:szCs w:val="18"/>
    </w:rPr>
  </w:style>
  <w:style w:type="paragraph" w:styleId="22">
    <w:name w:val="List Paragraph"/>
    <w:basedOn w:val="1"/>
    <w:qFormat/>
    <w:uiPriority w:val="34"/>
    <w:pPr>
      <w:ind w:firstLine="420" w:firstLineChars="200"/>
    </w:pPr>
  </w:style>
  <w:style w:type="paragraph" w:customStyle="1" w:styleId="23">
    <w:name w:val="修订1"/>
    <w:semiHidden/>
    <w:qFormat/>
    <w:uiPriority w:val="99"/>
    <w:rPr>
      <w:rFonts w:ascii="Times New Roman" w:hAnsi="Times New Roman" w:eastAsia="宋体" w:cs="Times New Roman"/>
      <w:kern w:val="2"/>
      <w:sz w:val="21"/>
      <w:szCs w:val="24"/>
      <w:lang w:val="en-US" w:eastAsia="zh-CN" w:bidi="ar-SA"/>
    </w:rPr>
  </w:style>
  <w:style w:type="character" w:customStyle="1" w:styleId="24">
    <w:name w:val="NormalCharacter"/>
    <w:semiHidden/>
    <w:qFormat/>
    <w:uiPriority w:val="0"/>
  </w:style>
  <w:style w:type="character" w:customStyle="1" w:styleId="25">
    <w:name w:val="批注文字 Char"/>
    <w:basedOn w:val="17"/>
    <w:link w:val="6"/>
    <w:qFormat/>
    <w:uiPriority w:val="99"/>
    <w:rPr>
      <w:rFonts w:ascii="Times New Roman" w:hAnsi="Times New Roman" w:eastAsia="宋体" w:cs="Times New Roman"/>
      <w:szCs w:val="24"/>
    </w:rPr>
  </w:style>
  <w:style w:type="character" w:customStyle="1" w:styleId="26">
    <w:name w:val="批注主题 Char"/>
    <w:basedOn w:val="25"/>
    <w:link w:val="14"/>
    <w:semiHidden/>
    <w:qFormat/>
    <w:uiPriority w:val="99"/>
    <w:rPr>
      <w:rFonts w:ascii="Times New Roman" w:hAnsi="Times New Roman" w:eastAsia="宋体" w:cs="Times New Roman"/>
      <w:b/>
      <w:bCs/>
      <w:szCs w:val="24"/>
    </w:rPr>
  </w:style>
  <w:style w:type="character" w:customStyle="1" w:styleId="27">
    <w:name w:val="正文文本 Char"/>
    <w:basedOn w:val="17"/>
    <w:link w:val="7"/>
    <w:qFormat/>
    <w:uiPriority w:val="0"/>
    <w:rPr>
      <w:rFonts w:hint="eastAsia" w:ascii="仿宋_GB2312" w:eastAsia="仿宋_GB2312" w:cs="仿宋_GB2312"/>
      <w:kern w:val="2"/>
      <w:sz w:val="32"/>
      <w:szCs w:val="24"/>
    </w:rPr>
  </w:style>
  <w:style w:type="character" w:customStyle="1" w:styleId="28">
    <w:name w:val="font11"/>
    <w:basedOn w:val="17"/>
    <w:qFormat/>
    <w:uiPriority w:val="0"/>
    <w:rPr>
      <w:rFonts w:hint="eastAsia" w:ascii="宋体" w:hAnsi="宋体" w:eastAsia="宋体" w:cs="宋体"/>
      <w:color w:val="000000"/>
      <w:sz w:val="18"/>
      <w:szCs w:val="18"/>
      <w:u w:val="none"/>
    </w:rPr>
  </w:style>
  <w:style w:type="character" w:customStyle="1" w:styleId="29">
    <w:name w:val="批注框文本 Char"/>
    <w:basedOn w:val="17"/>
    <w:link w:val="10"/>
    <w:semiHidden/>
    <w:qFormat/>
    <w:uiPriority w:val="99"/>
    <w:rPr>
      <w:kern w:val="2"/>
      <w:sz w:val="18"/>
      <w:szCs w:val="18"/>
    </w:rPr>
  </w:style>
  <w:style w:type="character" w:customStyle="1" w:styleId="30">
    <w:name w:val="font21"/>
    <w:basedOn w:val="1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8531</Words>
  <Characters>8901</Characters>
  <Lines>79</Lines>
  <Paragraphs>22</Paragraphs>
  <TotalTime>17</TotalTime>
  <ScaleCrop>false</ScaleCrop>
  <LinksUpToDate>false</LinksUpToDate>
  <CharactersWithSpaces>8914</CharactersWithSpaces>
  <Application>WPS Office_12.8.2.17148_F1E327BC-269C-435d-A152-05C5408002CA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2024-05-19T01:34:00Z</dcterms:created>
  <dc:creator>王 海龙</dc:creator>
  <cp:lastModifiedBy>hp</cp:lastModifiedBy>
  <cp:lastPrinted>2025-08-25T05:27:46Z</cp:lastPrinted>
  <dcterms:modified xsi:type="dcterms:W3CDTF">2025-08-25T05:29:08Z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2052-12.8.2.17148</vt:lpwstr>
  </property>
  <property fmtid="{D5CDD505-2E9C-101B-9397-08002B2CF9AE}" pid="3" name="ICV">
    <vt:lpwstr>C20F9D1D9C3E4AA5966FD52EF4C42F07_13</vt:lpwstr>
  </property>
  <property fmtid="{D5CDD505-2E9C-101B-9397-08002B2CF9AE}" pid="4" name="KSOTemplateDocerSaveRecord">
    <vt:lpwstr>eyJoZGlkIjoiYjA5MGE5MjY0YTZkZmVhNDVmOTQ3ZjA1MDVhOTkzYjkiLCJ1c2VySWQiOiI1ODY2NjY2MDAifQ==</vt:lpwstr>
  </property>
</Properties>
</file>