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60" w:lineRule="exact"/>
        <w:ind w:firstLine="880"/>
        <w:jc w:val="center"/>
        <w:rPr>
          <w:rFonts w:ascii="方正小标宋简体" w:eastAsia="方正小标宋简体"/>
          <w:sz w:val="44"/>
          <w:szCs w:val="44"/>
        </w:rPr>
      </w:pPr>
      <w:bookmarkStart w:id="0" w:name="_GoBack"/>
      <w:bookmarkEnd w:id="0"/>
      <w:r>
        <w:rPr>
          <w:rFonts w:hint="eastAsia" w:ascii="方正小标宋简体" w:eastAsia="方正小标宋简体"/>
          <w:sz w:val="44"/>
          <w:szCs w:val="44"/>
        </w:rPr>
        <w:t>北京市广播电视局</w:t>
      </w:r>
    </w:p>
    <w:p>
      <w:pPr>
        <w:spacing w:line="560" w:lineRule="exact"/>
        <w:ind w:firstLine="880"/>
        <w:jc w:val="center"/>
        <w:rPr>
          <w:rFonts w:ascii="方正小标宋简体" w:eastAsia="方正小标宋简体"/>
          <w:b/>
          <w:bCs/>
          <w:sz w:val="44"/>
          <w:szCs w:val="44"/>
        </w:rPr>
      </w:pPr>
      <w:r>
        <w:rPr>
          <w:rFonts w:hint="eastAsia" w:ascii="方正小标宋简体" w:eastAsia="方正小标宋简体"/>
          <w:sz w:val="44"/>
          <w:szCs w:val="44"/>
        </w:rPr>
        <w:t>部门整体绩效评价报告</w:t>
      </w:r>
    </w:p>
    <w:p>
      <w:pPr>
        <w:spacing w:line="560" w:lineRule="exact"/>
        <w:ind w:firstLine="880" w:firstLineChars="200"/>
        <w:jc w:val="center"/>
        <w:rPr>
          <w:rFonts w:ascii="方正小标宋简体" w:eastAsia="方正小标宋简体"/>
          <w:sz w:val="44"/>
          <w:szCs w:val="44"/>
        </w:rPr>
      </w:pPr>
    </w:p>
    <w:p>
      <w:pPr>
        <w:adjustRightInd w:val="0"/>
        <w:snapToGrid w:val="0"/>
        <w:spacing w:line="560" w:lineRule="exact"/>
        <w:ind w:firstLine="640" w:firstLineChars="200"/>
        <w:outlineLvl w:val="0"/>
        <w:rPr>
          <w:rFonts w:ascii="黑体" w:hAnsi="黑体" w:eastAsia="黑体" w:cs="宋体"/>
          <w:kern w:val="0"/>
          <w:sz w:val="32"/>
          <w:szCs w:val="32"/>
        </w:rPr>
      </w:pPr>
      <w:r>
        <w:rPr>
          <w:rFonts w:hint="eastAsia" w:ascii="黑体" w:hAnsi="黑体" w:eastAsia="黑体" w:cs="宋体"/>
          <w:kern w:val="0"/>
          <w:sz w:val="32"/>
          <w:szCs w:val="32"/>
        </w:rPr>
        <w:t>一、部门概况</w:t>
      </w:r>
    </w:p>
    <w:p>
      <w:pPr>
        <w:adjustRightInd w:val="0"/>
        <w:snapToGrid w:val="0"/>
        <w:spacing w:line="560" w:lineRule="exact"/>
        <w:ind w:firstLine="640" w:firstLineChars="200"/>
        <w:outlineLvl w:val="1"/>
        <w:rPr>
          <w:rFonts w:ascii="楷体" w:hAnsi="楷体" w:eastAsia="楷体" w:cs="楷体_GB2312"/>
          <w:sz w:val="32"/>
          <w:szCs w:val="32"/>
        </w:rPr>
      </w:pPr>
      <w:r>
        <w:rPr>
          <w:rFonts w:hint="eastAsia" w:ascii="楷体" w:hAnsi="楷体" w:eastAsia="楷体" w:cs="楷体_GB2312"/>
          <w:sz w:val="32"/>
          <w:szCs w:val="32"/>
        </w:rPr>
        <w:t>（一）机构设置及职责工作任务情况</w:t>
      </w:r>
    </w:p>
    <w:p>
      <w:pPr>
        <w:adjustRightInd w:val="0"/>
        <w:snapToGrid w:val="0"/>
        <w:spacing w:line="560" w:lineRule="exact"/>
        <w:ind w:firstLine="640" w:firstLineChars="200"/>
        <w:outlineLvl w:val="2"/>
        <w:rPr>
          <w:rFonts w:ascii="仿宋_GB2312" w:hAnsi="仿宋_GB2312" w:eastAsia="仿宋_GB2312" w:cs="仿宋_GB2312"/>
          <w:sz w:val="32"/>
          <w:szCs w:val="22"/>
        </w:rPr>
      </w:pPr>
      <w:r>
        <w:rPr>
          <w:rFonts w:hint="eastAsia" w:ascii="仿宋_GB2312" w:hAnsi="仿宋_GB2312" w:eastAsia="仿宋_GB2312" w:cs="仿宋_GB2312"/>
          <w:sz w:val="32"/>
          <w:szCs w:val="22"/>
        </w:rPr>
        <w:t>1.机构设置情况</w:t>
      </w:r>
    </w:p>
    <w:p>
      <w:pPr>
        <w:adjustRightInd w:val="0"/>
        <w:snapToGri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北京市广播电视局（简称市广电局）是市政府直属机构，为正局级，内设12个处室，另设机关党委、机关纪委和工会，纪检监察机构按有关规定派驻，下属6个</w:t>
      </w:r>
      <w:r>
        <w:rPr>
          <w:rFonts w:hint="eastAsia" w:ascii="仿宋_GB2312" w:hAnsi="仿宋" w:eastAsia="仿宋_GB2312"/>
          <w:sz w:val="32"/>
          <w:szCs w:val="32"/>
        </w:rPr>
        <w:t>事业</w:t>
      </w:r>
      <w:r>
        <w:rPr>
          <w:rFonts w:ascii="仿宋_GB2312" w:hAnsi="仿宋" w:eastAsia="仿宋_GB2312"/>
          <w:sz w:val="32"/>
          <w:szCs w:val="32"/>
        </w:rPr>
        <w:t>单位</w:t>
      </w:r>
      <w:r>
        <w:rPr>
          <w:rFonts w:hint="eastAsia" w:ascii="仿宋_GB2312" w:hAnsi="宋体" w:eastAsia="仿宋_GB2312" w:cs="宋体"/>
          <w:kern w:val="0"/>
          <w:sz w:val="32"/>
          <w:szCs w:val="32"/>
        </w:rPr>
        <w:t>。</w:t>
      </w:r>
    </w:p>
    <w:p>
      <w:pPr>
        <w:adjustRightInd w:val="0"/>
        <w:snapToGrid w:val="0"/>
        <w:spacing w:line="560" w:lineRule="exact"/>
        <w:ind w:firstLine="640" w:firstLineChars="200"/>
        <w:outlineLvl w:val="2"/>
        <w:rPr>
          <w:rFonts w:ascii="仿宋_GB2312" w:hAnsi="仿宋_GB2312" w:eastAsia="仿宋_GB2312" w:cs="仿宋_GB2312"/>
          <w:sz w:val="32"/>
          <w:szCs w:val="22"/>
        </w:rPr>
      </w:pPr>
      <w:r>
        <w:rPr>
          <w:rFonts w:hint="eastAsia" w:ascii="仿宋_GB2312" w:hAnsi="仿宋_GB2312" w:eastAsia="仿宋_GB2312" w:cs="仿宋_GB2312"/>
          <w:sz w:val="32"/>
          <w:szCs w:val="22"/>
        </w:rPr>
        <w:t>2.职责工作任务情况</w:t>
      </w:r>
    </w:p>
    <w:p>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市广电局</w:t>
      </w:r>
      <w:r>
        <w:rPr>
          <w:rFonts w:ascii="仿宋_GB2312" w:hAnsi="仿宋" w:eastAsia="仿宋_GB2312"/>
          <w:sz w:val="32"/>
          <w:szCs w:val="32"/>
        </w:rPr>
        <w:t>贯彻落实党中央关于广播电视工作的方针政策、决策部署和市委有关工作要求，在履行职责过程中坚持和加强党对广播电视工作的集中统一领导。</w:t>
      </w:r>
      <w:r>
        <w:rPr>
          <w:rFonts w:hint="eastAsia" w:ascii="仿宋_GB2312" w:hAnsi="仿宋" w:eastAsia="仿宋_GB2312"/>
          <w:sz w:val="32"/>
          <w:szCs w:val="32"/>
        </w:rPr>
        <w:t>主要职责是：</w:t>
      </w:r>
    </w:p>
    <w:p>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1）贯彻执行国家关于广播电视宣传工作的法律法规、规章和政策，把握正确的舆论和创作导向。负责起草本市关于广播电视和信息网络视听节目服务方面的地方性法规草案、政府规章草案，制定相关的政策措施、地方标准，并组织实施和监督管理。推进广播电视领域的体制机制改革。</w:t>
      </w:r>
    </w:p>
    <w:p>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（2）负责制定本市广播电视领域事业发展规划，组织实施公共服务重大公益工程和公益活动，扶助农村广播电视建设和发展，指导、监管广播电视基础设施建设。</w:t>
      </w:r>
    </w:p>
    <w:p>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（3）负责统筹规划本市广播电视产业发展，制定发展规划、产业政策并组织实施。依法负责广播电视统计工作。</w:t>
      </w:r>
    </w:p>
    <w:p>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（4）负责监督管理本市广播电视机构和业务，实施依法设定的行政许可并承担相应责任，负责市场经营活动监督管理的相关工作，负责对境外卫星电视节目接收的监管。</w:t>
      </w:r>
    </w:p>
    <w:p>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（5）指导电视剧行业发展和电视剧创作生产。负责对网络视听节目、广播电视节目进行监管，审查其内容和质量。指导监管广播电视广告播放。</w:t>
      </w:r>
    </w:p>
    <w:p>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（6）负责推进本市广播电视与新媒体新技术新业态融合发展，推进广电网与电信网、互联网三网融合。</w:t>
      </w:r>
    </w:p>
    <w:p>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（7）组织拟订本市广播电视科技发展规划、政策和行业技术标准，并组织实施和监督检查。负责对广播电视节目传输覆盖、监测和安全播出进行监管，推进应急广播建设。</w:t>
      </w:r>
    </w:p>
    <w:p>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（8）负责本市广播电视节目的进口、收录管理。负责广播电视领域对外及对港澳台的交流与合作，组织推动广播电视领域“走出去”工作。</w:t>
      </w:r>
    </w:p>
    <w:p>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（9）依法对本市广播电视行业的安全工作承担管理责任，对以市广电局名义组织的各类活动的安全工作承担主体责任。</w:t>
      </w:r>
    </w:p>
    <w:p>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（10）指导本市广播电视、网络视听行业人才队伍建设。</w:t>
      </w:r>
    </w:p>
    <w:p>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（11）完成市委、市政府交办的其他任务。</w:t>
      </w:r>
    </w:p>
    <w:p>
      <w:pPr>
        <w:adjustRightInd w:val="0"/>
        <w:snapToGrid w:val="0"/>
        <w:spacing w:line="560" w:lineRule="exact"/>
        <w:ind w:firstLine="640" w:firstLineChars="200"/>
        <w:outlineLvl w:val="1"/>
        <w:rPr>
          <w:rFonts w:ascii="楷体_GB2312" w:hAnsi="楷体_GB2312" w:eastAsia="楷体_GB2312" w:cs="楷体_GB2312"/>
          <w:sz w:val="32"/>
          <w:szCs w:val="32"/>
        </w:rPr>
      </w:pPr>
      <w:r>
        <w:rPr>
          <w:rFonts w:hint="eastAsia" w:ascii="楷体_GB2312" w:hAnsi="楷体_GB2312" w:eastAsia="楷体_GB2312" w:cs="楷体_GB2312"/>
          <w:sz w:val="32"/>
          <w:szCs w:val="32"/>
        </w:rPr>
        <w:t>（二）部门整体绩效目标设立情况</w:t>
      </w:r>
    </w:p>
    <w:p>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市广电局部门整体绩效目标全面反映了全局年度预期产出和效果，绩效指标细化量化、可考核可评价，为年度工作开展提供方向指引和约束。</w:t>
      </w:r>
    </w:p>
    <w:p>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1.目标设立依据充分。</w:t>
      </w:r>
      <w:r>
        <w:rPr>
          <w:rFonts w:hint="eastAsia" w:ascii="仿宋_GB2312" w:hAnsi="宋体" w:eastAsia="仿宋_GB2312" w:cs="宋体"/>
          <w:kern w:val="0"/>
          <w:sz w:val="32"/>
          <w:szCs w:val="32"/>
        </w:rPr>
        <w:t>绩效目标设定依据党中央、国务院和北京市委市政府的决策部署，</w:t>
      </w:r>
      <w:r>
        <w:rPr>
          <w:rFonts w:hint="eastAsia" w:ascii="仿宋_GB2312" w:hAnsi="仿宋" w:eastAsia="仿宋_GB2312"/>
          <w:sz w:val="32"/>
          <w:szCs w:val="32"/>
        </w:rPr>
        <w:t>符合广电行业法律法规相关规定，与北京市“十四五”时期加强全国文化中心建设规划及广播电视和网络视听发展规划相契合，符合广电领域相关政策要求。</w:t>
      </w:r>
    </w:p>
    <w:p>
      <w:pPr>
        <w:adjustRightInd w:val="0"/>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2.目标设定与职责任务匹配。绩效目标设定以市广电局部门职责为出发点，紧扣年度重点工作任务，为部门履职提供保障。</w:t>
      </w:r>
    </w:p>
    <w:p>
      <w:pPr>
        <w:adjustRightInd w:val="0"/>
        <w:snapToGrid w:val="0"/>
        <w:spacing w:line="560" w:lineRule="exact"/>
        <w:ind w:firstLine="640" w:firstLineChars="200"/>
        <w:outlineLvl w:val="0"/>
        <w:rPr>
          <w:rFonts w:ascii="黑体" w:hAnsi="黑体" w:eastAsia="黑体" w:cs="宋体"/>
          <w:kern w:val="0"/>
          <w:sz w:val="32"/>
          <w:szCs w:val="32"/>
        </w:rPr>
      </w:pPr>
      <w:r>
        <w:rPr>
          <w:rFonts w:hint="eastAsia" w:ascii="仿宋_GB2312" w:hAnsi="仿宋" w:eastAsia="仿宋_GB2312"/>
          <w:sz w:val="32"/>
          <w:szCs w:val="32"/>
        </w:rPr>
        <w:t>3.目标设定合理可行。绩效目标依据客观实际设定，经过严格审查和审核把关，与预算额度相匹配，与年度计划相对应。</w:t>
      </w:r>
    </w:p>
    <w:p>
      <w:pPr>
        <w:adjustRightInd w:val="0"/>
        <w:snapToGrid w:val="0"/>
        <w:spacing w:line="560" w:lineRule="exact"/>
        <w:ind w:firstLine="640" w:firstLineChars="200"/>
        <w:outlineLvl w:val="0"/>
        <w:rPr>
          <w:rFonts w:ascii="黑体" w:hAnsi="黑体" w:eastAsia="黑体" w:cs="宋体"/>
          <w:kern w:val="0"/>
          <w:sz w:val="32"/>
          <w:szCs w:val="32"/>
        </w:rPr>
      </w:pPr>
      <w:r>
        <w:rPr>
          <w:rFonts w:hint="eastAsia" w:ascii="黑体" w:hAnsi="黑体" w:eastAsia="黑体" w:cs="宋体"/>
          <w:kern w:val="0"/>
          <w:sz w:val="32"/>
          <w:szCs w:val="32"/>
        </w:rPr>
        <w:t>二</w:t>
      </w:r>
      <w:r>
        <w:rPr>
          <w:rFonts w:ascii="黑体" w:hAnsi="黑体" w:eastAsia="黑体" w:cs="宋体"/>
          <w:kern w:val="0"/>
          <w:sz w:val="32"/>
          <w:szCs w:val="32"/>
        </w:rPr>
        <w:t>、</w:t>
      </w:r>
      <w:r>
        <w:rPr>
          <w:rFonts w:hint="eastAsia" w:ascii="黑体" w:hAnsi="黑体" w:eastAsia="黑体" w:cs="宋体"/>
          <w:kern w:val="0"/>
          <w:sz w:val="32"/>
          <w:szCs w:val="32"/>
        </w:rPr>
        <w:t>当年</w:t>
      </w:r>
      <w:r>
        <w:rPr>
          <w:rFonts w:ascii="黑体" w:hAnsi="黑体" w:eastAsia="黑体" w:cs="宋体"/>
          <w:kern w:val="0"/>
          <w:sz w:val="32"/>
          <w:szCs w:val="32"/>
        </w:rPr>
        <w:t>预算执行情况</w:t>
      </w:r>
    </w:p>
    <w:p>
      <w:pPr>
        <w:adjustRightInd w:val="0"/>
        <w:snapToGri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2023年</w:t>
      </w:r>
      <w:r>
        <w:rPr>
          <w:rFonts w:ascii="仿宋_GB2312" w:hAnsi="宋体" w:eastAsia="仿宋_GB2312" w:cs="宋体"/>
          <w:kern w:val="0"/>
          <w:sz w:val="32"/>
          <w:szCs w:val="32"/>
        </w:rPr>
        <w:t>全年</w:t>
      </w:r>
      <w:r>
        <w:rPr>
          <w:rFonts w:hint="eastAsia" w:ascii="仿宋_GB2312" w:hAnsi="宋体" w:eastAsia="仿宋_GB2312" w:cs="宋体"/>
          <w:kern w:val="0"/>
          <w:sz w:val="32"/>
          <w:szCs w:val="32"/>
        </w:rPr>
        <w:t>预算数57,684.00万元</w:t>
      </w:r>
      <w:r>
        <w:rPr>
          <w:rFonts w:ascii="仿宋_GB2312" w:hAnsi="宋体" w:eastAsia="仿宋_GB2312" w:cs="宋体"/>
          <w:kern w:val="0"/>
          <w:sz w:val="32"/>
          <w:szCs w:val="32"/>
        </w:rPr>
        <w:t>，</w:t>
      </w:r>
      <w:r>
        <w:rPr>
          <w:rFonts w:hint="eastAsia" w:ascii="仿宋_GB2312" w:hAnsi="宋体" w:eastAsia="仿宋_GB2312" w:cs="宋体"/>
          <w:kern w:val="0"/>
          <w:sz w:val="32"/>
          <w:szCs w:val="32"/>
        </w:rPr>
        <w:t>其中</w:t>
      </w:r>
      <w:r>
        <w:rPr>
          <w:rFonts w:ascii="仿宋_GB2312" w:hAnsi="宋体" w:eastAsia="仿宋_GB2312" w:cs="宋体"/>
          <w:kern w:val="0"/>
          <w:sz w:val="32"/>
          <w:szCs w:val="32"/>
        </w:rPr>
        <w:t>，基本</w:t>
      </w:r>
      <w:r>
        <w:rPr>
          <w:rFonts w:hint="eastAsia" w:ascii="仿宋_GB2312" w:hAnsi="宋体" w:eastAsia="仿宋_GB2312" w:cs="宋体"/>
          <w:kern w:val="0"/>
          <w:sz w:val="32"/>
          <w:szCs w:val="32"/>
        </w:rPr>
        <w:t>支出</w:t>
      </w:r>
      <w:r>
        <w:rPr>
          <w:rFonts w:ascii="仿宋_GB2312" w:hAnsi="宋体" w:eastAsia="仿宋_GB2312" w:cs="宋体"/>
          <w:kern w:val="0"/>
          <w:sz w:val="32"/>
          <w:szCs w:val="32"/>
        </w:rPr>
        <w:t>预算数</w:t>
      </w:r>
      <w:r>
        <w:rPr>
          <w:rFonts w:hint="eastAsia" w:ascii="仿宋_GB2312" w:hAnsi="宋体" w:eastAsia="仿宋_GB2312" w:cs="宋体"/>
          <w:kern w:val="0"/>
          <w:sz w:val="32"/>
          <w:szCs w:val="32"/>
        </w:rPr>
        <w:t>11,143.95</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项目支出预算数46,540.05</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w:t>
      </w:r>
      <w:r>
        <w:rPr>
          <w:rFonts w:ascii="仿宋_GB2312" w:hAnsi="宋体" w:eastAsia="仿宋_GB2312" w:cs="宋体"/>
          <w:kern w:val="0"/>
          <w:sz w:val="32"/>
          <w:szCs w:val="32"/>
        </w:rPr>
        <w:t>资金总体</w:t>
      </w:r>
      <w:r>
        <w:rPr>
          <w:rFonts w:hint="eastAsia" w:ascii="仿宋_GB2312" w:hAnsi="宋体" w:eastAsia="仿宋_GB2312" w:cs="宋体"/>
          <w:kern w:val="0"/>
          <w:sz w:val="32"/>
          <w:szCs w:val="32"/>
        </w:rPr>
        <w:t>支出54,211.93</w:t>
      </w:r>
      <w:r>
        <w:rPr>
          <w:rFonts w:ascii="仿宋_GB2312" w:hAnsi="宋体" w:eastAsia="仿宋_GB2312" w:cs="宋体"/>
          <w:kern w:val="0"/>
          <w:sz w:val="32"/>
          <w:szCs w:val="32"/>
        </w:rPr>
        <w:t>万元，其中，基本支出</w:t>
      </w:r>
      <w:r>
        <w:rPr>
          <w:rFonts w:hint="eastAsia" w:ascii="仿宋_GB2312" w:hAnsi="宋体" w:eastAsia="仿宋_GB2312" w:cs="宋体"/>
          <w:kern w:val="0"/>
          <w:sz w:val="32"/>
          <w:szCs w:val="32"/>
        </w:rPr>
        <w:t>10,266.14</w:t>
      </w:r>
      <w:r>
        <w:rPr>
          <w:rFonts w:ascii="仿宋_GB2312" w:hAnsi="宋体" w:eastAsia="仿宋_GB2312" w:cs="宋体"/>
          <w:kern w:val="0"/>
          <w:sz w:val="32"/>
          <w:szCs w:val="32"/>
        </w:rPr>
        <w:t>万元，项目</w:t>
      </w:r>
      <w:r>
        <w:rPr>
          <w:rFonts w:hint="eastAsia" w:ascii="仿宋_GB2312" w:hAnsi="宋体" w:eastAsia="仿宋_GB2312" w:cs="宋体"/>
          <w:kern w:val="0"/>
          <w:sz w:val="32"/>
          <w:szCs w:val="32"/>
        </w:rPr>
        <w:t>支出43,945.79</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预算</w:t>
      </w:r>
      <w:r>
        <w:rPr>
          <w:rFonts w:ascii="仿宋_GB2312" w:hAnsi="宋体" w:eastAsia="仿宋_GB2312" w:cs="宋体"/>
          <w:kern w:val="0"/>
          <w:sz w:val="32"/>
          <w:szCs w:val="32"/>
        </w:rPr>
        <w:t>执行率为9</w:t>
      </w:r>
      <w:r>
        <w:rPr>
          <w:rFonts w:hint="eastAsia" w:ascii="仿宋_GB2312" w:hAnsi="宋体" w:eastAsia="仿宋_GB2312" w:cs="宋体"/>
          <w:kern w:val="0"/>
          <w:sz w:val="32"/>
          <w:szCs w:val="32"/>
        </w:rPr>
        <w:t>3.98</w:t>
      </w:r>
      <w:r>
        <w:rPr>
          <w:rFonts w:ascii="仿宋_GB2312" w:hAnsi="宋体" w:eastAsia="仿宋_GB2312" w:cs="宋体"/>
          <w:kern w:val="0"/>
          <w:sz w:val="32"/>
          <w:szCs w:val="32"/>
        </w:rPr>
        <w:t>%</w:t>
      </w:r>
      <w:r>
        <w:rPr>
          <w:rFonts w:hint="eastAsia" w:ascii="仿宋_GB2312" w:hAnsi="宋体" w:eastAsia="仿宋_GB2312" w:cs="宋体"/>
          <w:kern w:val="0"/>
          <w:sz w:val="32"/>
          <w:szCs w:val="32"/>
        </w:rPr>
        <w:t>。</w:t>
      </w:r>
    </w:p>
    <w:p>
      <w:pPr>
        <w:adjustRightInd w:val="0"/>
        <w:snapToGrid w:val="0"/>
        <w:spacing w:line="560" w:lineRule="exact"/>
        <w:ind w:firstLine="640" w:firstLineChars="200"/>
        <w:outlineLvl w:val="0"/>
        <w:rPr>
          <w:rFonts w:ascii="黑体" w:hAnsi="黑体" w:eastAsia="黑体" w:cs="宋体"/>
          <w:kern w:val="0"/>
          <w:sz w:val="32"/>
          <w:szCs w:val="32"/>
        </w:rPr>
      </w:pPr>
      <w:r>
        <w:rPr>
          <w:rFonts w:hint="eastAsia" w:ascii="黑体" w:hAnsi="黑体" w:eastAsia="黑体" w:cs="宋体"/>
          <w:kern w:val="0"/>
          <w:sz w:val="32"/>
          <w:szCs w:val="32"/>
        </w:rPr>
        <w:t>三</w:t>
      </w:r>
      <w:r>
        <w:rPr>
          <w:rFonts w:ascii="黑体" w:hAnsi="黑体" w:eastAsia="黑体" w:cs="宋体"/>
          <w:kern w:val="0"/>
          <w:sz w:val="32"/>
          <w:szCs w:val="32"/>
        </w:rPr>
        <w:t>、整体绩效目标实现情况</w:t>
      </w:r>
    </w:p>
    <w:p>
      <w:pPr>
        <w:adjustRightInd w:val="0"/>
        <w:snapToGri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2023年，市广电局坚持以习近平新时代中国特色社会主义思想为指导，围绕学习宣传贯彻党的二十大精神这条主线，深入学习贯彻习近平文化思想，贯彻落实全国和全市宣传思想文化工作会议精神，坚决落实国家广电总局和市委市政府各项工作部署，扎实开展主题教育，守正创新、砥砺奋进，首都广播电视和网络视听高质量发展实现新突破、取得新成效。国家广电总局及市委市政府领导对市广电局安全播出服务保障、文艺精品供给等工作给予肯定表扬。</w:t>
      </w:r>
    </w:p>
    <w:p>
      <w:pPr>
        <w:adjustRightInd w:val="0"/>
        <w:snapToGrid w:val="0"/>
        <w:spacing w:line="560" w:lineRule="exact"/>
        <w:ind w:firstLine="640" w:firstLineChars="200"/>
        <w:rPr>
          <w:rFonts w:ascii="仿宋_GB2312" w:hAnsi="宋体" w:eastAsia="仿宋_GB2312" w:cs="宋体"/>
          <w:kern w:val="0"/>
          <w:sz w:val="32"/>
          <w:szCs w:val="32"/>
        </w:rPr>
      </w:pPr>
    </w:p>
    <w:p>
      <w:pPr>
        <w:adjustRightInd w:val="0"/>
        <w:snapToGrid w:val="0"/>
        <w:spacing w:line="560" w:lineRule="exact"/>
        <w:ind w:firstLine="640"/>
        <w:outlineLvl w:val="1"/>
      </w:pPr>
      <w:r>
        <w:rPr>
          <w:rFonts w:hint="eastAsia" w:ascii="楷体_GB2312" w:hAnsi="楷体_GB2312" w:eastAsia="楷体_GB2312" w:cs="楷体_GB2312"/>
          <w:sz w:val="32"/>
          <w:szCs w:val="32"/>
        </w:rPr>
        <w:t>（一）产出完成情况分析</w:t>
      </w:r>
    </w:p>
    <w:p>
      <w:pPr>
        <w:adjustRightInd w:val="0"/>
        <w:snapToGrid w:val="0"/>
        <w:spacing w:line="560" w:lineRule="exact"/>
        <w:ind w:firstLine="642" w:firstLineChars="200"/>
        <w:outlineLvl w:val="2"/>
        <w:rPr>
          <w:rFonts w:ascii="仿宋_GB2312" w:hAnsi="宋体" w:eastAsia="仿宋_GB2312" w:cs="宋体"/>
          <w:kern w:val="0"/>
          <w:sz w:val="32"/>
          <w:szCs w:val="32"/>
          <w:lang w:eastAsia="zh-Hans"/>
        </w:rPr>
      </w:pPr>
      <w:r>
        <w:rPr>
          <w:rFonts w:hint="eastAsia" w:ascii="仿宋_GB2312" w:hAnsi="宋体" w:eastAsia="仿宋_GB2312" w:cs="宋体"/>
          <w:b/>
          <w:bCs/>
          <w:kern w:val="0"/>
          <w:sz w:val="32"/>
          <w:szCs w:val="32"/>
        </w:rPr>
        <w:t>1.把握正确导向，主流舆论引领效果显著。一是</w:t>
      </w:r>
      <w:r>
        <w:rPr>
          <w:rFonts w:hint="eastAsia" w:ascii="仿宋_GB2312" w:hAnsi="宋体" w:eastAsia="仿宋_GB2312" w:cs="宋体"/>
          <w:kern w:val="0"/>
          <w:sz w:val="32"/>
          <w:szCs w:val="32"/>
        </w:rPr>
        <w:t>深化广播电视媒体“头条”、网络视听平台“首页首屏首条”建设和短视频“首屏首推”工程，推动习近平总书记思想和领袖形象持续深化。</w:t>
      </w:r>
      <w:r>
        <w:rPr>
          <w:rFonts w:hint="eastAsia" w:ascii="仿宋_GB2312" w:hAnsi="宋体" w:eastAsia="仿宋_GB2312" w:cs="宋体"/>
          <w:b/>
          <w:bCs/>
          <w:kern w:val="0"/>
          <w:sz w:val="32"/>
          <w:szCs w:val="32"/>
        </w:rPr>
        <w:t>二是</w:t>
      </w:r>
      <w:r>
        <w:rPr>
          <w:rFonts w:hint="eastAsia" w:ascii="仿宋_GB2312" w:hAnsi="宋体" w:eastAsia="仿宋_GB2312" w:cs="宋体"/>
          <w:kern w:val="0"/>
          <w:sz w:val="32"/>
          <w:szCs w:val="32"/>
        </w:rPr>
        <w:t>5家首都广电新媒体账号入选全国广播电视新媒体联盟首批成员单位，千万级账号增至4个，67个市属主账号矩阵推送主题宣传短视频689条，发布频次13093次，累计点击量达1.29亿次，首都主流媒体宣传量实现跃升。</w:t>
      </w:r>
    </w:p>
    <w:p>
      <w:pPr>
        <w:adjustRightInd w:val="0"/>
        <w:snapToGrid w:val="0"/>
        <w:spacing w:line="560" w:lineRule="exact"/>
        <w:ind w:firstLine="643"/>
        <w:outlineLvl w:val="2"/>
        <w:rPr>
          <w:rFonts w:ascii="仿宋_GB2312" w:hAnsi="仿宋_GB2312" w:eastAsia="仿宋_GB2312" w:cs="仿宋_GB2312"/>
          <w:sz w:val="32"/>
          <w:szCs w:val="32"/>
          <w:lang w:bidi="ar"/>
        </w:rPr>
      </w:pPr>
      <w:r>
        <w:rPr>
          <w:rFonts w:hint="eastAsia" w:ascii="仿宋_GB2312" w:hAnsi="宋体" w:eastAsia="仿宋_GB2312" w:cs="宋体"/>
          <w:b/>
          <w:bCs/>
          <w:kern w:val="0"/>
          <w:sz w:val="32"/>
          <w:szCs w:val="32"/>
        </w:rPr>
        <w:t>2.聚焦精品产出，优质内容供给不断扩大。一是</w:t>
      </w:r>
      <w:r>
        <w:rPr>
          <w:rFonts w:hint="eastAsia" w:ascii="仿宋_GB2312" w:hAnsi="仿宋_GB2312" w:eastAsia="仿宋_GB2312" w:cs="仿宋_GB2312"/>
          <w:sz w:val="32"/>
          <w:szCs w:val="32"/>
          <w:lang w:bidi="ar"/>
        </w:rPr>
        <w:t>建立“北京大视听”机制，积极搭建制播交流平台，启动</w:t>
      </w:r>
      <w:r>
        <w:rPr>
          <w:rFonts w:hint="eastAsia" w:ascii="仿宋_GB2312" w:eastAsia="仿宋_GB2312"/>
          <w:bCs/>
          <w:sz w:val="32"/>
          <w:szCs w:val="32"/>
        </w:rPr>
        <w:t>市区两级影视摄制服务机制，</w:t>
      </w:r>
      <w:r>
        <w:rPr>
          <w:rFonts w:hint="eastAsia" w:ascii="仿宋_GB2312" w:hAnsi="仿宋_GB2312" w:eastAsia="仿宋_GB2312" w:cs="仿宋_GB2312"/>
          <w:sz w:val="32"/>
          <w:szCs w:val="32"/>
          <w:lang w:bidi="ar"/>
        </w:rPr>
        <w:t>广播电视网络视听精品创作工作体系进一步完善。</w:t>
      </w:r>
      <w:r>
        <w:rPr>
          <w:rFonts w:hint="eastAsia" w:ascii="仿宋_GB2312" w:hAnsi="仿宋_GB2312" w:eastAsia="仿宋_GB2312" w:cs="仿宋_GB2312"/>
          <w:sz w:val="32"/>
          <w:szCs w:val="32"/>
        </w:rPr>
        <w:t>启动网络微短剧“首亮微光”扶持计划，推动网络文艺精品创作。2023中国（北京）动画周、2023中国纪录片大会、首届北京网络视听艺术大会、中国·北京电视剧盛典、北京国际公益广告大会等品牌活动全面升级，有力撬动精品项目挖掘推介、文艺作品创作转化及成果落地。</w:t>
      </w:r>
      <w:r>
        <w:rPr>
          <w:rFonts w:hint="eastAsia" w:ascii="仿宋_GB2312" w:hAnsi="宋体" w:eastAsia="仿宋_GB2312" w:cs="宋体"/>
          <w:b/>
          <w:bCs/>
          <w:kern w:val="0"/>
          <w:sz w:val="32"/>
          <w:szCs w:val="32"/>
        </w:rPr>
        <w:t>二是</w:t>
      </w:r>
      <w:r>
        <w:rPr>
          <w:rFonts w:hint="eastAsia" w:ascii="仿宋_GB2312" w:hAnsi="宋体" w:eastAsia="仿宋_GB2312" w:cs="宋体"/>
          <w:kern w:val="0"/>
          <w:sz w:val="32"/>
          <w:szCs w:val="32"/>
        </w:rPr>
        <w:t>《鲲鹏击浪》《欢迎来到麦乐村》等25部首播京产剧闪耀大小屏</w:t>
      </w:r>
      <w:r>
        <w:rPr>
          <w:rFonts w:hint="eastAsia" w:ascii="仿宋_GB2312" w:hAnsi="仿宋_GB2312" w:eastAsia="仿宋_GB2312" w:cs="仿宋_GB2312"/>
          <w:sz w:val="32"/>
          <w:szCs w:val="32"/>
          <w:lang w:bidi="ar"/>
        </w:rPr>
        <w:t>，</w:t>
      </w:r>
      <w:r>
        <w:rPr>
          <w:rFonts w:hint="eastAsia" w:ascii="仿宋_GB2312" w:hAnsi="宋体" w:eastAsia="仿宋_GB2312" w:cs="宋体"/>
          <w:kern w:val="0"/>
          <w:sz w:val="32"/>
          <w:szCs w:val="32"/>
        </w:rPr>
        <w:t>11部优秀网络影视剧首次实现在卫视频道黄金时段跨屏播出，推出《登场了！北京中轴线》等系列网络视听作品助力中轴线申遗保护</w:t>
      </w:r>
      <w:r>
        <w:rPr>
          <w:rFonts w:hint="eastAsia" w:ascii="仿宋_GB2312" w:hAnsi="微软雅黑" w:eastAsia="仿宋_GB2312" w:cs="宋体"/>
          <w:kern w:val="0"/>
          <w:sz w:val="32"/>
          <w:szCs w:val="32"/>
        </w:rPr>
        <w:t>。</w:t>
      </w:r>
      <w:r>
        <w:rPr>
          <w:rFonts w:ascii="仿宋_GB2312" w:hAnsi="微软雅黑" w:eastAsia="仿宋_GB2312" w:cs="宋体"/>
          <w:kern w:val="0"/>
          <w:sz w:val="32"/>
          <w:szCs w:val="32"/>
        </w:rPr>
        <w:t>17</w:t>
      </w:r>
      <w:r>
        <w:rPr>
          <w:rFonts w:hint="eastAsia" w:ascii="仿宋_GB2312" w:hAnsi="微软雅黑" w:eastAsia="仿宋_GB2312" w:cs="宋体"/>
          <w:kern w:val="0"/>
          <w:sz w:val="32"/>
          <w:szCs w:val="32"/>
        </w:rPr>
        <w:t>个广播电视节目、12部电视纪录片、10部电视动画片获总局季度、年度推优，127部网络视听作品入选2023年总局各类推优评奖，8部公益广告作品获总局年度扶持，数量均居各省局首位。8部作品获中国广播电视大奖年度广播电视节目奖，7部作品获第33届中国新闻奖，3部作品及2名个人入选2022年度全国广播电视新闻“百佳”，9部作品获第十届北京文学艺术奖。</w:t>
      </w:r>
      <w:r>
        <w:rPr>
          <w:rFonts w:hint="eastAsia" w:ascii="仿宋_GB2312" w:hAnsi="宋体" w:eastAsia="仿宋_GB2312" w:cs="宋体"/>
          <w:b/>
          <w:bCs/>
          <w:kern w:val="0"/>
          <w:sz w:val="32"/>
          <w:szCs w:val="32"/>
        </w:rPr>
        <w:t>三是</w:t>
      </w:r>
      <w:r>
        <w:rPr>
          <w:rFonts w:hint="eastAsia" w:ascii="仿宋_GB2312" w:hAnsi="仿宋_GB2312" w:eastAsia="仿宋_GB2312" w:cs="仿宋_GB2312"/>
          <w:sz w:val="32"/>
          <w:szCs w:val="32"/>
          <w:lang w:bidi="ar"/>
        </w:rPr>
        <w:t>进一步突出专项资金导向引领和杠杆撬动作用，对精品创作生产全流程予以支持保障，持续提升文艺原创力与创新力。</w:t>
      </w:r>
    </w:p>
    <w:p>
      <w:pPr>
        <w:adjustRightInd w:val="0"/>
        <w:snapToGrid w:val="0"/>
        <w:spacing w:line="560" w:lineRule="exact"/>
        <w:ind w:firstLine="642" w:firstLineChars="200"/>
        <w:outlineLvl w:val="2"/>
        <w:rPr>
          <w:rFonts w:ascii="仿宋_GB2312" w:hAnsi="宋体" w:eastAsia="仿宋_GB2312" w:cs="宋体"/>
          <w:kern w:val="0"/>
          <w:sz w:val="32"/>
          <w:szCs w:val="32"/>
        </w:rPr>
      </w:pPr>
      <w:r>
        <w:rPr>
          <w:rFonts w:hint="eastAsia" w:ascii="仿宋_GB2312" w:hAnsi="宋体" w:eastAsia="仿宋_GB2312" w:cs="宋体"/>
          <w:b/>
          <w:bCs/>
          <w:kern w:val="0"/>
          <w:sz w:val="32"/>
          <w:szCs w:val="32"/>
        </w:rPr>
        <w:t>3.坚持科技赋能，以科技创新带动行业发展。一是</w:t>
      </w:r>
      <w:r>
        <w:rPr>
          <w:rFonts w:hint="eastAsia" w:ascii="仿宋_GB2312" w:hAnsi="宋体" w:eastAsia="仿宋_GB2312" w:cs="宋体"/>
          <w:kern w:val="0"/>
          <w:sz w:val="32"/>
          <w:szCs w:val="32"/>
        </w:rPr>
        <w:t>积极推进超高清视听全产业链优化升级全国试点，会同国家广电总局起草完善部市合作备忘录及相关任务、项目清单，研究北京市超高清视听先锋行动计划。围绕超高清产业链和高新视频应用场景，评选10家智慧广电第三批重点实验室，奖励扶持30个智慧广电优秀项目。持续引领8K精品生产，扶持8K超高清视频作品215部约200小时，有力拓展8K应用场景在演艺、文旅、文博等多领域落地。</w:t>
      </w:r>
      <w:r>
        <w:rPr>
          <w:rFonts w:hint="eastAsia" w:ascii="仿宋_GB2312" w:hAnsi="宋体" w:eastAsia="仿宋_GB2312" w:cs="宋体"/>
          <w:b/>
          <w:bCs/>
          <w:kern w:val="0"/>
          <w:sz w:val="32"/>
          <w:szCs w:val="32"/>
        </w:rPr>
        <w:t>二是</w:t>
      </w:r>
      <w:r>
        <w:rPr>
          <w:rFonts w:hint="eastAsia" w:ascii="仿宋_GB2312" w:hAnsi="宋体" w:eastAsia="仿宋_GB2312" w:cs="宋体"/>
          <w:kern w:val="0"/>
          <w:sz w:val="32"/>
          <w:szCs w:val="32"/>
        </w:rPr>
        <w:t>举办首届北京市广播电视和网络视听科技创新应用大赛，遴选出26个优秀项目在第三届广播电视和网络视听人工智能应用创新大赛、高新视频创新应用大赛获奖，两大赛获奖数量和质量位居全国第一。积极推动北京地区国家广电总局实验室建设，完成4项高新视频行业标准研究制定，开展“未来电视”跟踪研究。</w:t>
      </w:r>
    </w:p>
    <w:p>
      <w:pPr>
        <w:adjustRightInd w:val="0"/>
        <w:snapToGrid w:val="0"/>
        <w:spacing w:line="560" w:lineRule="exact"/>
        <w:ind w:firstLine="642" w:firstLineChars="200"/>
        <w:outlineLvl w:val="2"/>
        <w:rPr>
          <w:rFonts w:ascii="仿宋_GB2312" w:hAnsi="宋体" w:eastAsia="仿宋_GB2312" w:cs="宋体"/>
          <w:kern w:val="0"/>
          <w:sz w:val="32"/>
          <w:szCs w:val="32"/>
        </w:rPr>
      </w:pPr>
      <w:r>
        <w:rPr>
          <w:rFonts w:hint="eastAsia" w:ascii="仿宋_GB2312" w:hAnsi="宋体" w:eastAsia="仿宋_GB2312" w:cs="宋体"/>
          <w:b/>
          <w:bCs/>
          <w:kern w:val="0"/>
          <w:sz w:val="32"/>
          <w:szCs w:val="32"/>
        </w:rPr>
        <w:t>4.</w:t>
      </w:r>
      <w:r>
        <w:rPr>
          <w:rFonts w:ascii="仿宋_GB2312" w:hAnsi="宋体" w:eastAsia="仿宋_GB2312" w:cs="宋体"/>
          <w:b/>
          <w:bCs/>
          <w:kern w:val="0"/>
          <w:sz w:val="32"/>
          <w:szCs w:val="32"/>
        </w:rPr>
        <w:t>强化产业协同</w:t>
      </w:r>
      <w:r>
        <w:rPr>
          <w:rFonts w:hint="eastAsia" w:ascii="仿宋_GB2312" w:hAnsi="宋体" w:eastAsia="仿宋_GB2312" w:cs="宋体"/>
          <w:b/>
          <w:bCs/>
          <w:kern w:val="0"/>
          <w:sz w:val="32"/>
          <w:szCs w:val="32"/>
        </w:rPr>
        <w:t>，产业发展</w:t>
      </w:r>
      <w:r>
        <w:rPr>
          <w:rFonts w:hint="eastAsia" w:ascii="仿宋_GB2312" w:hAnsi="仿宋_GB2312" w:eastAsia="仿宋_GB2312" w:cs="仿宋_GB2312"/>
          <w:b/>
          <w:bCs/>
          <w:sz w:val="32"/>
          <w:szCs w:val="32"/>
          <w:lang w:bidi="ar"/>
        </w:rPr>
        <w:t>态势良好</w:t>
      </w:r>
      <w:r>
        <w:rPr>
          <w:rFonts w:hint="eastAsia" w:ascii="仿宋_GB2312" w:hAnsi="宋体" w:eastAsia="仿宋_GB2312" w:cs="宋体"/>
          <w:b/>
          <w:bCs/>
          <w:kern w:val="0"/>
          <w:sz w:val="32"/>
          <w:szCs w:val="32"/>
        </w:rPr>
        <w:t>。一是</w:t>
      </w:r>
      <w:r>
        <w:rPr>
          <w:rStyle w:val="15"/>
          <w:rFonts w:hint="eastAsia" w:ascii="仿宋_GB2312" w:hAnsi="仿宋_GB2312" w:eastAsia="仿宋_GB2312" w:cs="仿宋_GB2312"/>
          <w:sz w:val="32"/>
          <w:szCs w:val="32"/>
        </w:rPr>
        <w:t>出台《关于推动北京动漫行业高质量发展的若干意见》，加大对动漫产业扶持力度。</w:t>
      </w:r>
      <w:r>
        <w:rPr>
          <w:rFonts w:hint="eastAsia" w:ascii="仿宋_GB2312" w:hAnsi="仿宋_GB2312" w:eastAsia="仿宋_GB2312" w:cs="仿宋_GB2312"/>
          <w:sz w:val="32"/>
          <w:szCs w:val="32"/>
          <w:shd w:val="clear" w:color="auto" w:fill="FFFFFF"/>
          <w:lang w:bidi="ar"/>
        </w:rPr>
        <w:t>协调各方资源服务行业重点企业发展，做好困难企业帮扶和转型，推动行业平稳健康发展。抓好“两区”建设各项任务推进落实，持续优化营商环境。</w:t>
      </w:r>
      <w:r>
        <w:rPr>
          <w:rFonts w:hint="eastAsia" w:ascii="仿宋_GB2312" w:hAnsi="宋体" w:eastAsia="仿宋_GB2312" w:cs="宋体"/>
          <w:b/>
          <w:bCs/>
          <w:kern w:val="0"/>
          <w:sz w:val="32"/>
          <w:szCs w:val="32"/>
        </w:rPr>
        <w:t>二是</w:t>
      </w:r>
      <w:r>
        <w:rPr>
          <w:rFonts w:hint="eastAsia" w:ascii="仿宋_GB2312" w:hAnsi="仿宋_GB2312" w:eastAsia="仿宋_GB2312" w:cs="仿宋_GB2312"/>
          <w:sz w:val="32"/>
          <w:szCs w:val="32"/>
          <w:lang w:bidi="ar"/>
        </w:rPr>
        <w:t>发挥中国（北京）国际视听大会平台作用，</w:t>
      </w:r>
      <w:r>
        <w:rPr>
          <w:rFonts w:hint="eastAsia" w:ascii="仿宋_GB2312" w:hAnsi="仿宋_GB2312" w:eastAsia="仿宋_GB2312" w:cs="仿宋_GB2312"/>
          <w:sz w:val="32"/>
          <w:szCs w:val="32"/>
        </w:rPr>
        <w:t>三大国家级视听产业园区持续示范引领，认定发布首批5家市级视听艺术园，打造“3+5”产业格局，</w:t>
      </w:r>
      <w:r>
        <w:rPr>
          <w:rFonts w:hint="eastAsia" w:ascii="仿宋_GB2312" w:hAnsi="宋体" w:eastAsia="仿宋_GB2312" w:cs="宋体"/>
          <w:kern w:val="0"/>
          <w:sz w:val="32"/>
          <w:szCs w:val="32"/>
        </w:rPr>
        <w:t>进一步推动北京视听产业高质量发展。</w:t>
      </w:r>
      <w:r>
        <w:rPr>
          <w:rFonts w:hint="eastAsia" w:ascii="仿宋_GB2312" w:hAnsi="宋体" w:eastAsia="仿宋_GB2312" w:cs="宋体"/>
          <w:b/>
          <w:bCs/>
          <w:kern w:val="0"/>
          <w:sz w:val="32"/>
          <w:szCs w:val="32"/>
        </w:rPr>
        <w:t>三是</w:t>
      </w:r>
      <w:r>
        <w:rPr>
          <w:rFonts w:hint="eastAsia" w:ascii="仿宋_GB2312" w:hAnsi="仿宋" w:eastAsia="仿宋_GB2312" w:cs="仿宋_GB2312"/>
          <w:bCs/>
          <w:sz w:val="32"/>
          <w:szCs w:val="32"/>
          <w:lang w:bidi="ar"/>
        </w:rPr>
        <w:t>牵头推动签订《京津冀深化大视听协同发展战略合作协议》，深化全方位协同发展。举办京津冀视听产业走廊建设论坛，13家园区成立京津冀视听产业基地（园区）联盟，星光视听产业基地和大厂影视小镇签署战略合作协议，促进三地视听领域深度协同发展。</w:t>
      </w:r>
    </w:p>
    <w:p>
      <w:pPr>
        <w:widowControl/>
        <w:adjustRightInd w:val="0"/>
        <w:snapToGrid w:val="0"/>
        <w:spacing w:line="560" w:lineRule="exact"/>
        <w:ind w:firstLine="641"/>
        <w:outlineLvl w:val="2"/>
      </w:pPr>
      <w:r>
        <w:rPr>
          <w:rFonts w:hint="eastAsia" w:ascii="仿宋_GB2312" w:hAnsi="宋体" w:eastAsia="仿宋_GB2312" w:cs="宋体"/>
          <w:b/>
          <w:bCs/>
          <w:kern w:val="0"/>
          <w:sz w:val="32"/>
          <w:szCs w:val="32"/>
        </w:rPr>
        <w:t>5.紧抓重点工程和品牌建设，公共服务基层基础不断夯实。一是</w:t>
      </w:r>
      <w:r>
        <w:rPr>
          <w:rFonts w:hint="eastAsia" w:ascii="仿宋_GB2312" w:hAnsi="宋体" w:eastAsia="仿宋_GB2312" w:cs="宋体"/>
          <w:kern w:val="0"/>
          <w:sz w:val="32"/>
          <w:szCs w:val="32"/>
        </w:rPr>
        <w:t>制定出台《关于加快推动北京市应急广播建设的实施意见（2023年—2025年）》和配套技术方案，启动应急广播市级平台建设，推进房山、门头沟等7个试点区筹建工作，专班制、任务化整体推进</w:t>
      </w:r>
      <w:r>
        <w:rPr>
          <w:rFonts w:hint="eastAsia" w:ascii="仿宋_GB2312" w:hAnsi="宋体" w:eastAsia="仿宋_GB2312" w:cs="宋体"/>
          <w:kern w:val="0"/>
          <w:sz w:val="32"/>
          <w:szCs w:val="32"/>
          <w:lang w:bidi="ar"/>
        </w:rPr>
        <w:t>。</w:t>
      </w:r>
      <w:r>
        <w:rPr>
          <w:rFonts w:hint="eastAsia" w:ascii="仿宋_GB2312" w:hAnsi="宋体" w:eastAsia="仿宋_GB2312" w:cs="宋体"/>
          <w:b/>
          <w:bCs/>
          <w:kern w:val="0"/>
          <w:sz w:val="32"/>
          <w:szCs w:val="32"/>
        </w:rPr>
        <w:t>二是</w:t>
      </w:r>
      <w:r>
        <w:rPr>
          <w:rFonts w:hint="eastAsia" w:ascii="仿宋_GB2312" w:hAnsi="仿宋_GB2312" w:eastAsia="仿宋_GB2312" w:cs="仿宋_GB2312"/>
          <w:sz w:val="32"/>
          <w:szCs w:val="32"/>
          <w:lang w:bidi="ar"/>
        </w:rPr>
        <w:t>持续开展转播站、行政村发射站</w:t>
      </w:r>
      <w:r>
        <w:rPr>
          <w:rFonts w:hint="eastAsia" w:ascii="仿宋_GB2312" w:hAnsi="宋体" w:eastAsia="仿宋_GB2312" w:cs="宋体"/>
          <w:kern w:val="0"/>
          <w:sz w:val="32"/>
          <w:szCs w:val="32"/>
        </w:rPr>
        <w:t>等基础设施维护，保障5个转播站和571个行政村发射站安全稳定运行，保证中央及北京市广播电视节目长期服务于广大百姓</w:t>
      </w:r>
      <w:r>
        <w:rPr>
          <w:rFonts w:hint="eastAsia" w:ascii="仿宋_GB2312" w:hAnsi="仿宋_GB2312" w:eastAsia="仿宋_GB2312" w:cs="仿宋_GB2312"/>
          <w:sz w:val="32"/>
          <w:szCs w:val="32"/>
          <w:lang w:bidi="ar"/>
        </w:rPr>
        <w:t>。</w:t>
      </w:r>
      <w:r>
        <w:rPr>
          <w:rFonts w:hint="eastAsia" w:ascii="仿宋_GB2312" w:hAnsi="宋体" w:eastAsia="仿宋_GB2312" w:cs="宋体"/>
          <w:b/>
          <w:bCs/>
          <w:kern w:val="0"/>
          <w:sz w:val="32"/>
          <w:szCs w:val="32"/>
        </w:rPr>
        <w:t>三是</w:t>
      </w:r>
      <w:r>
        <w:rPr>
          <w:rFonts w:hint="eastAsia" w:ascii="仿宋_GB2312" w:hAnsi="宋体" w:eastAsia="仿宋_GB2312" w:cs="宋体"/>
          <w:kern w:val="0"/>
          <w:sz w:val="32"/>
          <w:szCs w:val="32"/>
        </w:rPr>
        <w:t>北京市电视“套娃”收费及操作复杂专项治理首批试点任务提前完成，群众看电视体验明显提升。</w:t>
      </w:r>
      <w:r>
        <w:rPr>
          <w:rFonts w:hint="eastAsia" w:ascii="仿宋_GB2312" w:hAnsi="宋体" w:eastAsia="仿宋_GB2312" w:cs="宋体"/>
          <w:b/>
          <w:bCs/>
          <w:kern w:val="0"/>
          <w:sz w:val="32"/>
          <w:szCs w:val="32"/>
        </w:rPr>
        <w:t>四是</w:t>
      </w:r>
      <w:r>
        <w:rPr>
          <w:rFonts w:hint="eastAsia" w:ascii="仿宋_GB2312" w:hAnsi="仿宋_GB2312" w:eastAsia="仿宋_GB2312" w:cs="仿宋_GB2312"/>
          <w:sz w:val="32"/>
          <w:szCs w:val="32"/>
          <w:lang w:bidi="ar"/>
        </w:rPr>
        <w:t>打造“北京大视听天天见”品牌，围绕春节、五一等节日组织全市重点平台打造北京大视听系列专区，集纳上百场线上主题活动，累计浏览量90亿次，“限时转免”价值折合1.5亿元。挂牌认定80家“新视听空间”，“北京视听零距离”开展152场线上线下活动，服务群众130余万人次。</w:t>
      </w:r>
    </w:p>
    <w:p>
      <w:pPr>
        <w:adjustRightInd w:val="0"/>
        <w:snapToGrid w:val="0"/>
        <w:spacing w:line="560" w:lineRule="exact"/>
        <w:ind w:firstLine="642" w:firstLineChars="200"/>
        <w:outlineLvl w:val="2"/>
        <w:rPr>
          <w:rFonts w:ascii="仿宋_GB2312" w:hAnsi="宋体" w:eastAsia="仿宋_GB2312" w:cs="宋体"/>
          <w:kern w:val="0"/>
          <w:sz w:val="32"/>
          <w:szCs w:val="32"/>
        </w:rPr>
      </w:pPr>
      <w:r>
        <w:rPr>
          <w:rFonts w:hint="eastAsia" w:ascii="仿宋_GB2312" w:hAnsi="宋体" w:eastAsia="仿宋_GB2312" w:cs="宋体"/>
          <w:b/>
          <w:bCs/>
          <w:kern w:val="0"/>
          <w:sz w:val="32"/>
          <w:szCs w:val="32"/>
        </w:rPr>
        <w:t>6.</w:t>
      </w:r>
      <w:r>
        <w:rPr>
          <w:rFonts w:hint="eastAsia" w:ascii="仿宋_GB2312" w:hAnsi="仿宋_GB2312" w:eastAsia="仿宋_GB2312" w:cs="仿宋_GB2312"/>
          <w:b/>
          <w:bCs/>
          <w:sz w:val="32"/>
          <w:szCs w:val="32"/>
          <w:lang w:bidi="ar"/>
        </w:rPr>
        <w:t>筑牢行业安全底线，安全保障和行业治理能力持续增强。</w:t>
      </w:r>
      <w:r>
        <w:rPr>
          <w:rFonts w:hint="eastAsia" w:ascii="仿宋_GB2312" w:hAnsi="宋体" w:eastAsia="仿宋_GB2312" w:cs="宋体"/>
          <w:b/>
          <w:bCs/>
          <w:kern w:val="0"/>
          <w:sz w:val="32"/>
          <w:szCs w:val="32"/>
        </w:rPr>
        <w:t>一</w:t>
      </w:r>
      <w:r>
        <w:rPr>
          <w:rFonts w:hint="eastAsia" w:ascii="仿宋_GB2312" w:hAnsi="仿宋_GB2312" w:eastAsia="仿宋_GB2312" w:cs="仿宋_GB2312"/>
          <w:b/>
          <w:bCs/>
          <w:sz w:val="32"/>
          <w:szCs w:val="32"/>
          <w:lang w:bidi="ar"/>
        </w:rPr>
        <w:t>是</w:t>
      </w:r>
      <w:r>
        <w:rPr>
          <w:rFonts w:hint="eastAsia" w:ascii="仿宋_GB2312" w:hAnsi="仿宋_GB2312" w:eastAsia="仿宋_GB2312" w:cs="仿宋_GB2312"/>
          <w:sz w:val="32"/>
          <w:szCs w:val="32"/>
          <w:lang w:bidi="ar"/>
        </w:rPr>
        <w:t>高标准完成“一带一路”国际合作高峰论坛住地电视服务保障和安全播出保障工作，元旦春节、全国两会、亚运会等重要时段安全播出保障实现零差错，全市安全播出指挥中心新址试运行稳定，“五全”监管体系初步成型。</w:t>
      </w:r>
      <w:r>
        <w:rPr>
          <w:rFonts w:hint="eastAsia" w:ascii="仿宋_GB2312" w:hAnsi="宋体" w:eastAsia="仿宋_GB2312" w:cs="宋体"/>
          <w:b/>
          <w:bCs/>
          <w:kern w:val="0"/>
          <w:sz w:val="32"/>
          <w:szCs w:val="32"/>
        </w:rPr>
        <w:t>二</w:t>
      </w:r>
      <w:r>
        <w:rPr>
          <w:rFonts w:hint="eastAsia" w:ascii="仿宋_GB2312" w:hAnsi="仿宋_GB2312" w:eastAsia="仿宋_GB2312" w:cs="仿宋_GB2312"/>
          <w:b/>
          <w:bCs/>
          <w:sz w:val="32"/>
          <w:szCs w:val="32"/>
          <w:lang w:bidi="ar"/>
        </w:rPr>
        <w:t>是</w:t>
      </w:r>
      <w:r>
        <w:rPr>
          <w:rFonts w:hint="eastAsia" w:ascii="仿宋_GB2312" w:hAnsi="宋体" w:eastAsia="仿宋_GB2312" w:cs="宋体"/>
          <w:kern w:val="0"/>
          <w:sz w:val="32"/>
          <w:szCs w:val="32"/>
        </w:rPr>
        <w:t>全力做好全市广播电视防汛救灾和恢复重建工作，具备修复条件的5万余户有线电视中断用户全部完成抢修。</w:t>
      </w:r>
      <w:r>
        <w:rPr>
          <w:rFonts w:hint="eastAsia" w:ascii="仿宋_GB2312" w:hAnsi="宋体" w:eastAsia="仿宋_GB2312" w:cs="宋体"/>
          <w:b/>
          <w:bCs/>
          <w:kern w:val="0"/>
          <w:sz w:val="32"/>
          <w:szCs w:val="32"/>
        </w:rPr>
        <w:t>三</w:t>
      </w:r>
      <w:r>
        <w:rPr>
          <w:rFonts w:hint="eastAsia" w:ascii="仿宋_GB2312" w:hAnsi="仿宋_GB2312" w:eastAsia="仿宋_GB2312" w:cs="仿宋_GB2312"/>
          <w:b/>
          <w:bCs/>
          <w:sz w:val="32"/>
          <w:szCs w:val="32"/>
          <w:lang w:bidi="ar"/>
        </w:rPr>
        <w:t>是</w:t>
      </w:r>
      <w:r>
        <w:rPr>
          <w:rFonts w:hint="eastAsia" w:ascii="仿宋_GB2312" w:hAnsi="宋体" w:eastAsia="仿宋_GB2312" w:cs="宋体"/>
          <w:kern w:val="0"/>
          <w:sz w:val="32"/>
          <w:szCs w:val="32"/>
        </w:rPr>
        <w:t>深入开展文娱领域综合治理，持续开展网络直播乱象、无证网站、违规短视频等清理整顿，开展微短剧专项治理，构建清朗有序的网络视听生态。加强落地调频广播监测，确保良好播出秩序。</w:t>
      </w:r>
    </w:p>
    <w:p>
      <w:pPr>
        <w:adjustRightInd w:val="0"/>
        <w:snapToGrid w:val="0"/>
        <w:spacing w:line="560" w:lineRule="exact"/>
        <w:ind w:firstLine="642" w:firstLineChars="200"/>
        <w:outlineLvl w:val="2"/>
        <w:rPr>
          <w:rFonts w:ascii="仿宋_GB2312" w:hAnsi="宋体" w:eastAsia="仿宋_GB2312" w:cs="宋体"/>
          <w:kern w:val="0"/>
          <w:sz w:val="32"/>
          <w:szCs w:val="32"/>
        </w:rPr>
      </w:pPr>
      <w:r>
        <w:rPr>
          <w:rFonts w:hint="eastAsia" w:ascii="仿宋_GB2312" w:hAnsi="宋体" w:eastAsia="仿宋_GB2312" w:cs="宋体"/>
          <w:b/>
          <w:bCs/>
          <w:kern w:val="0"/>
          <w:sz w:val="32"/>
          <w:szCs w:val="32"/>
        </w:rPr>
        <w:t>7.深化媒体融合，引领示范效应进一步增强。一</w:t>
      </w:r>
      <w:r>
        <w:rPr>
          <w:rFonts w:hint="eastAsia" w:ascii="仿宋_GB2312" w:hAnsi="仿宋_GB2312" w:eastAsia="仿宋_GB2312" w:cs="仿宋_GB2312"/>
          <w:b/>
          <w:bCs/>
          <w:sz w:val="32"/>
          <w:szCs w:val="32"/>
          <w:lang w:bidi="ar"/>
        </w:rPr>
        <w:t>是</w:t>
      </w:r>
      <w:r>
        <w:rPr>
          <w:rFonts w:hint="eastAsia" w:ascii="仿宋_GB2312" w:hAnsi="宋体" w:eastAsia="仿宋_GB2312" w:cs="宋体"/>
          <w:kern w:val="0"/>
          <w:sz w:val="32"/>
          <w:szCs w:val="32"/>
        </w:rPr>
        <w:t>擦亮媒体融合“一会一赛”品牌，中国广电媒体融合发展大会全面提质升级，新视听媒体融合创新创意大赛辐射全国，打造具有全国影响力的媒体融合交流合作平台。</w:t>
      </w:r>
      <w:r>
        <w:rPr>
          <w:rFonts w:hint="eastAsia" w:ascii="仿宋_GB2312" w:hAnsi="仿宋_GB2312" w:eastAsia="仿宋_GB2312" w:cs="仿宋_GB2312"/>
          <w:sz w:val="32"/>
          <w:szCs w:val="32"/>
          <w:lang w:bidi="ar"/>
        </w:rPr>
        <w:t>开展媒体融合创新技术与服务应用遴选推广计划，评出优秀项目40个，扶持落地项目11个，真人数字人节目生产系统等7个上年度扶持项目在市区两级媒体落地应用。</w:t>
      </w:r>
      <w:r>
        <w:rPr>
          <w:rFonts w:hint="eastAsia" w:ascii="仿宋_GB2312" w:hAnsi="宋体" w:eastAsia="仿宋_GB2312" w:cs="宋体"/>
          <w:b/>
          <w:bCs/>
          <w:kern w:val="0"/>
          <w:sz w:val="32"/>
          <w:szCs w:val="32"/>
        </w:rPr>
        <w:t>二是</w:t>
      </w:r>
      <w:r>
        <w:rPr>
          <w:rFonts w:hint="eastAsia" w:ascii="仿宋_GB2312" w:hAnsi="宋体" w:eastAsia="仿宋_GB2312" w:cs="宋体"/>
          <w:kern w:val="0"/>
          <w:sz w:val="32"/>
          <w:szCs w:val="32"/>
        </w:rPr>
        <w:t>加强市区融媒体建设，</w:t>
      </w:r>
      <w:r>
        <w:rPr>
          <w:rFonts w:hint="eastAsia" w:ascii="仿宋_GB2312" w:hAnsi="仿宋_GB2312" w:eastAsia="仿宋_GB2312" w:cs="仿宋_GB2312"/>
          <w:sz w:val="32"/>
          <w:szCs w:val="32"/>
        </w:rPr>
        <w:t>打造具有首都特色的“大号大端”矩阵。</w:t>
      </w:r>
      <w:r>
        <w:rPr>
          <w:rFonts w:hint="eastAsia" w:ascii="仿宋_GB2312" w:hAnsi="宋体" w:eastAsia="仿宋_GB2312" w:cs="宋体"/>
          <w:kern w:val="0"/>
          <w:sz w:val="32"/>
          <w:szCs w:val="32"/>
        </w:rPr>
        <w:t>推出全市首批10家优秀新视听融媒工作室，</w:t>
      </w:r>
      <w:r>
        <w:rPr>
          <w:rFonts w:hint="eastAsia" w:ascii="仿宋_GB2312" w:hAnsi="仿宋_GB2312" w:eastAsia="仿宋_GB2312" w:cs="仿宋_GB2312"/>
          <w:sz w:val="32"/>
          <w:szCs w:val="32"/>
          <w:lang w:bidi="ar"/>
        </w:rPr>
        <w:t>北京广播电视台融媒体中心和“‘掌上海淀’客户端依托‘数字孪生社区’深度融入社会治理”项目分别获评全国广播电视媒体融合先导单位和成长项目。</w:t>
      </w:r>
    </w:p>
    <w:p>
      <w:pPr>
        <w:adjustRightInd w:val="0"/>
        <w:snapToGrid w:val="0"/>
        <w:spacing w:line="560" w:lineRule="exact"/>
        <w:ind w:firstLine="642" w:firstLineChars="200"/>
        <w:outlineLvl w:val="2"/>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8.扩大对外交流，提升视听国际传播能力。一是</w:t>
      </w:r>
      <w:r>
        <w:rPr>
          <w:rFonts w:hint="eastAsia" w:ascii="仿宋_GB2312" w:hAnsi="宋体" w:eastAsia="仿宋_GB2312" w:cs="宋体"/>
          <w:kern w:val="0"/>
          <w:sz w:val="32"/>
          <w:szCs w:val="32"/>
        </w:rPr>
        <w:t>贯彻落实《关于加强和改进北京新视听国际传播工作的实施意见》，创新开展北京优秀影视剧海外展播季之英国、阿拉伯等国家和地区活动，成功举办“一带一路”新视听产业发展论坛、中阿视听产业交流论坛等，持续深化中外影视合作交流。</w:t>
      </w:r>
      <w:r>
        <w:rPr>
          <w:rFonts w:hint="eastAsia" w:ascii="仿宋_GB2312" w:hAnsi="宋体" w:eastAsia="仿宋_GB2312" w:cs="宋体"/>
          <w:b/>
          <w:bCs/>
          <w:kern w:val="0"/>
          <w:sz w:val="32"/>
          <w:szCs w:val="32"/>
        </w:rPr>
        <w:t>二是</w:t>
      </w:r>
      <w:r>
        <w:rPr>
          <w:rFonts w:hint="eastAsia" w:ascii="仿宋_GB2312" w:hAnsi="宋体" w:eastAsia="仿宋_GB2312" w:cs="宋体"/>
          <w:kern w:val="0"/>
          <w:sz w:val="32"/>
          <w:szCs w:val="32"/>
        </w:rPr>
        <w:t>组织视听科技企业参加中东迪拜广播电视卫星展、荷兰国际广播大会，搭建国际合作交流平台，帮助企业拓展海外市场，推动先进视听技术产品走出去。</w:t>
      </w:r>
      <w:r>
        <w:rPr>
          <w:rFonts w:hint="eastAsia" w:ascii="仿宋_GB2312" w:hAnsi="宋体" w:eastAsia="仿宋_GB2312" w:cs="宋体"/>
          <w:b/>
          <w:bCs/>
          <w:kern w:val="0"/>
          <w:sz w:val="32"/>
          <w:szCs w:val="32"/>
        </w:rPr>
        <w:t>三是</w:t>
      </w:r>
      <w:r>
        <w:rPr>
          <w:rFonts w:hint="eastAsia" w:ascii="仿宋_GB2312" w:hAnsi="宋体" w:eastAsia="仿宋_GB2312" w:cs="宋体"/>
          <w:kern w:val="0"/>
          <w:sz w:val="32"/>
          <w:szCs w:val="32"/>
        </w:rPr>
        <w:t>发挥国际传播力专项资金作用，对38家企业的89个优秀视听国际传播项目予以奖励扶持。</w:t>
      </w:r>
    </w:p>
    <w:p>
      <w:pPr>
        <w:adjustRightInd w:val="0"/>
        <w:snapToGrid w:val="0"/>
        <w:spacing w:line="560" w:lineRule="exact"/>
        <w:ind w:firstLine="640" w:firstLineChars="200"/>
        <w:outlineLvl w:val="1"/>
        <w:rPr>
          <w:rFonts w:ascii="楷体_GB2312" w:hAnsi="楷体_GB2312" w:eastAsia="楷体_GB2312" w:cs="楷体_GB2312"/>
          <w:sz w:val="32"/>
          <w:szCs w:val="32"/>
        </w:rPr>
      </w:pPr>
      <w:r>
        <w:rPr>
          <w:rFonts w:hint="eastAsia" w:ascii="楷体_GB2312" w:hAnsi="楷体_GB2312" w:eastAsia="楷体_GB2312" w:cs="楷体_GB2312"/>
          <w:sz w:val="32"/>
          <w:szCs w:val="32"/>
        </w:rPr>
        <w:t>（二）效果实现情况分析</w:t>
      </w:r>
    </w:p>
    <w:p>
      <w:pPr>
        <w:adjustRightInd w:val="0"/>
        <w:snapToGrid w:val="0"/>
        <w:spacing w:line="560" w:lineRule="exact"/>
        <w:ind w:firstLine="640" w:firstLineChars="200"/>
        <w:outlineLvl w:val="2"/>
        <w:rPr>
          <w:rFonts w:ascii="仿宋_GB2312" w:hAnsi="Calibri" w:eastAsia="仿宋_GB2312"/>
          <w:sz w:val="32"/>
          <w:szCs w:val="32"/>
          <w:lang w:bidi="ar"/>
        </w:rPr>
      </w:pPr>
      <w:r>
        <w:rPr>
          <w:rFonts w:hint="eastAsia" w:ascii="仿宋_GB2312" w:hAnsi="Calibri" w:eastAsia="仿宋_GB2312"/>
          <w:sz w:val="32"/>
          <w:szCs w:val="32"/>
          <w:lang w:bidi="ar"/>
        </w:rPr>
        <w:t>1.牢牢把握正确宣传导向，深化新型主流媒体建设，广播电视和网络视听舆论引导力进一步提高。</w:t>
      </w:r>
    </w:p>
    <w:p>
      <w:pPr>
        <w:adjustRightInd w:val="0"/>
        <w:snapToGrid w:val="0"/>
        <w:spacing w:line="560" w:lineRule="exact"/>
        <w:ind w:firstLine="640" w:firstLineChars="200"/>
        <w:outlineLvl w:val="2"/>
        <w:rPr>
          <w:rFonts w:ascii="仿宋_GB2312" w:hAnsi="Calibri" w:eastAsia="仿宋_GB2312"/>
          <w:sz w:val="32"/>
          <w:szCs w:val="32"/>
          <w:lang w:bidi="ar"/>
        </w:rPr>
      </w:pPr>
      <w:r>
        <w:rPr>
          <w:rFonts w:hint="eastAsia" w:ascii="仿宋_GB2312" w:hAnsi="Calibri" w:eastAsia="仿宋_GB2312"/>
          <w:sz w:val="32"/>
          <w:szCs w:val="32"/>
          <w:lang w:bidi="ar"/>
        </w:rPr>
        <w:t>2.建立健全“北京大视听”机制，加大影视创作生产服务力度，完善精品创作矩阵，内容供给进一步丰富和优化。</w:t>
      </w:r>
    </w:p>
    <w:p>
      <w:pPr>
        <w:adjustRightInd w:val="0"/>
        <w:snapToGrid w:val="0"/>
        <w:spacing w:line="560" w:lineRule="exact"/>
        <w:ind w:firstLine="640" w:firstLineChars="200"/>
        <w:outlineLvl w:val="2"/>
        <w:rPr>
          <w:rFonts w:ascii="仿宋_GB2312" w:hAnsi="Calibri" w:eastAsia="仿宋_GB2312"/>
          <w:sz w:val="32"/>
          <w:szCs w:val="32"/>
          <w:lang w:bidi="ar"/>
        </w:rPr>
      </w:pPr>
      <w:r>
        <w:rPr>
          <w:rFonts w:hint="eastAsia" w:ascii="仿宋_GB2312" w:hAnsi="Calibri" w:eastAsia="仿宋_GB2312"/>
          <w:sz w:val="32"/>
          <w:szCs w:val="32"/>
          <w:lang w:bidi="ar"/>
        </w:rPr>
        <w:t>3.推动超高清视听全产业链优化升级，促进广电新质生产力加快形成。</w:t>
      </w:r>
    </w:p>
    <w:p>
      <w:pPr>
        <w:adjustRightInd w:val="0"/>
        <w:snapToGrid w:val="0"/>
        <w:spacing w:line="560" w:lineRule="exact"/>
        <w:ind w:firstLine="640" w:firstLineChars="200"/>
        <w:outlineLvl w:val="2"/>
        <w:rPr>
          <w:rFonts w:ascii="仿宋_GB2312" w:hAnsi="Calibri" w:eastAsia="仿宋_GB2312"/>
          <w:sz w:val="32"/>
          <w:szCs w:val="32"/>
          <w:lang w:bidi="ar"/>
        </w:rPr>
      </w:pPr>
      <w:r>
        <w:rPr>
          <w:rFonts w:hint="eastAsia" w:ascii="仿宋_GB2312" w:hAnsi="Calibri" w:eastAsia="仿宋_GB2312"/>
          <w:sz w:val="32"/>
          <w:szCs w:val="32"/>
          <w:lang w:bidi="ar"/>
        </w:rPr>
        <w:t>4.持续增强产业集聚效应，视听产业保持高质量发展态势</w:t>
      </w:r>
      <w:r>
        <w:rPr>
          <w:rFonts w:hint="eastAsia" w:ascii="仿宋_GB2312" w:hAnsi="宋体" w:eastAsia="仿宋_GB2312" w:cs="宋体"/>
          <w:kern w:val="0"/>
          <w:sz w:val="32"/>
          <w:szCs w:val="32"/>
        </w:rPr>
        <w:t>。</w:t>
      </w:r>
    </w:p>
    <w:p>
      <w:pPr>
        <w:adjustRightInd w:val="0"/>
        <w:snapToGrid w:val="0"/>
        <w:spacing w:line="560" w:lineRule="exact"/>
        <w:ind w:firstLine="640" w:firstLineChars="200"/>
        <w:outlineLvl w:val="2"/>
        <w:rPr>
          <w:rFonts w:ascii="仿宋_GB2312" w:hAnsi="Calibri" w:eastAsia="仿宋_GB2312"/>
          <w:sz w:val="32"/>
          <w:szCs w:val="32"/>
          <w:lang w:bidi="ar"/>
        </w:rPr>
      </w:pPr>
      <w:r>
        <w:rPr>
          <w:rFonts w:hint="eastAsia" w:ascii="仿宋_GB2312" w:hAnsi="Calibri" w:eastAsia="仿宋_GB2312"/>
          <w:sz w:val="32"/>
          <w:szCs w:val="32"/>
          <w:lang w:bidi="ar"/>
        </w:rPr>
        <w:t>5.夯实基本公共服务保障基础，深化新视听公共服务示范工程，全市广播电视公共服务进一步提质增效。</w:t>
      </w:r>
    </w:p>
    <w:p>
      <w:pPr>
        <w:adjustRightInd w:val="0"/>
        <w:snapToGrid w:val="0"/>
        <w:spacing w:line="560" w:lineRule="exact"/>
        <w:ind w:firstLine="640" w:firstLineChars="200"/>
        <w:outlineLvl w:val="2"/>
        <w:rPr>
          <w:rFonts w:ascii="仿宋_GB2312" w:hAnsi="Calibri" w:eastAsia="仿宋_GB2312"/>
          <w:sz w:val="32"/>
          <w:szCs w:val="32"/>
          <w:lang w:bidi="ar"/>
        </w:rPr>
      </w:pPr>
      <w:r>
        <w:rPr>
          <w:rFonts w:hint="eastAsia" w:ascii="仿宋_GB2312" w:hAnsi="Calibri" w:eastAsia="仿宋_GB2312"/>
          <w:sz w:val="32"/>
          <w:szCs w:val="32"/>
          <w:lang w:bidi="ar"/>
        </w:rPr>
        <w:t>6.全面强化各类阵地监督管理，深化行业秩序治理，持续提升行业安全保障能力，安全屏障全面筑牢。</w:t>
      </w:r>
    </w:p>
    <w:p>
      <w:pPr>
        <w:adjustRightInd w:val="0"/>
        <w:snapToGrid w:val="0"/>
        <w:spacing w:line="560" w:lineRule="exact"/>
        <w:ind w:firstLine="640" w:firstLineChars="200"/>
        <w:outlineLvl w:val="2"/>
        <w:rPr>
          <w:rFonts w:ascii="仿宋_GB2312" w:hAnsi="Calibri" w:eastAsia="仿宋_GB2312"/>
          <w:sz w:val="32"/>
          <w:szCs w:val="32"/>
          <w:lang w:bidi="ar"/>
        </w:rPr>
      </w:pPr>
      <w:r>
        <w:rPr>
          <w:rFonts w:hint="eastAsia" w:ascii="仿宋_GB2312" w:hAnsi="Calibri" w:eastAsia="仿宋_GB2312"/>
          <w:sz w:val="32"/>
          <w:szCs w:val="32"/>
          <w:lang w:bidi="ar"/>
        </w:rPr>
        <w:t>7.推进媒体深度融合发展，加快共融互通的全媒体传播格局构建。</w:t>
      </w:r>
    </w:p>
    <w:p>
      <w:pPr>
        <w:adjustRightInd w:val="0"/>
        <w:snapToGrid w:val="0"/>
        <w:spacing w:line="560" w:lineRule="exact"/>
        <w:ind w:firstLine="640" w:firstLineChars="200"/>
        <w:outlineLvl w:val="2"/>
        <w:rPr>
          <w:rStyle w:val="20"/>
          <w:rFonts w:ascii="仿宋_GB2312" w:hAnsi="Calibri" w:eastAsia="仿宋_GB2312"/>
          <w:sz w:val="32"/>
          <w:szCs w:val="32"/>
          <w:lang w:bidi="ar"/>
        </w:rPr>
      </w:pPr>
      <w:r>
        <w:rPr>
          <w:rFonts w:hint="eastAsia" w:ascii="仿宋_GB2312" w:hAnsi="Calibri" w:eastAsia="仿宋_GB2312"/>
          <w:sz w:val="32"/>
          <w:szCs w:val="32"/>
          <w:lang w:bidi="ar"/>
        </w:rPr>
        <w:t>8.加快国际传播能力建设，北京新视听“内容+科技”走出去影响力持续扩大。</w:t>
      </w:r>
    </w:p>
    <w:p>
      <w:pPr>
        <w:adjustRightInd w:val="0"/>
        <w:snapToGrid w:val="0"/>
        <w:spacing w:line="560" w:lineRule="exact"/>
        <w:ind w:firstLine="640" w:firstLineChars="200"/>
        <w:outlineLvl w:val="0"/>
        <w:rPr>
          <w:rFonts w:ascii="黑体" w:hAnsi="黑体" w:eastAsia="黑体" w:cs="宋体"/>
          <w:kern w:val="0"/>
          <w:sz w:val="32"/>
          <w:szCs w:val="32"/>
        </w:rPr>
      </w:pPr>
      <w:r>
        <w:rPr>
          <w:rFonts w:hint="eastAsia" w:ascii="黑体" w:hAnsi="黑体" w:eastAsia="黑体" w:cs="宋体"/>
          <w:kern w:val="0"/>
          <w:sz w:val="32"/>
          <w:szCs w:val="32"/>
        </w:rPr>
        <w:t>四</w:t>
      </w:r>
      <w:r>
        <w:rPr>
          <w:rFonts w:ascii="黑体" w:hAnsi="黑体" w:eastAsia="黑体" w:cs="宋体"/>
          <w:kern w:val="0"/>
          <w:sz w:val="32"/>
          <w:szCs w:val="32"/>
        </w:rPr>
        <w:t>、预算管理</w:t>
      </w:r>
      <w:r>
        <w:rPr>
          <w:rFonts w:hint="eastAsia" w:ascii="黑体" w:hAnsi="黑体" w:eastAsia="黑体" w:cs="宋体"/>
          <w:kern w:val="0"/>
          <w:sz w:val="32"/>
          <w:szCs w:val="32"/>
        </w:rPr>
        <w:t>情况分</w:t>
      </w:r>
      <w:r>
        <w:rPr>
          <w:rFonts w:ascii="黑体" w:hAnsi="黑体" w:eastAsia="黑体" w:cs="宋体"/>
          <w:kern w:val="0"/>
          <w:sz w:val="32"/>
          <w:szCs w:val="32"/>
        </w:rPr>
        <w:t>析</w:t>
      </w:r>
    </w:p>
    <w:p>
      <w:pPr>
        <w:adjustRightInd w:val="0"/>
        <w:snapToGrid w:val="0"/>
        <w:spacing w:line="560" w:lineRule="exact"/>
        <w:ind w:firstLine="640" w:firstLineChars="200"/>
        <w:outlineLvl w:val="1"/>
        <w:rPr>
          <w:rFonts w:ascii="楷体_GB2312" w:hAnsi="楷体_GB2312" w:eastAsia="楷体_GB2312" w:cs="楷体_GB2312"/>
          <w:sz w:val="32"/>
          <w:szCs w:val="32"/>
        </w:rPr>
      </w:pPr>
      <w:r>
        <w:rPr>
          <w:rFonts w:hint="eastAsia" w:ascii="楷体_GB2312" w:hAnsi="楷体_GB2312" w:eastAsia="楷体_GB2312" w:cs="楷体_GB2312"/>
          <w:sz w:val="32"/>
          <w:szCs w:val="32"/>
        </w:rPr>
        <w:t>（一）财务管理</w:t>
      </w:r>
    </w:p>
    <w:p>
      <w:pPr>
        <w:adjustRightInd w:val="0"/>
        <w:snapToGrid w:val="0"/>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1.</w:t>
      </w:r>
      <w:r>
        <w:rPr>
          <w:rFonts w:hint="eastAsia" w:ascii="仿宋_GB2312" w:hAnsi="宋体" w:eastAsia="仿宋_GB2312" w:cs="宋体"/>
          <w:kern w:val="0"/>
          <w:sz w:val="32"/>
          <w:szCs w:val="32"/>
        </w:rPr>
        <w:t>财务管理制度健全性</w:t>
      </w:r>
    </w:p>
    <w:p>
      <w:pPr>
        <w:widowControl/>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kern w:val="0"/>
          <w:sz w:val="32"/>
          <w:szCs w:val="32"/>
        </w:rPr>
        <w:t>市广电局制定了财务管理、预算管理、经费支出管理、采购管理、资产管理、合同管理、绩效管理、内部审计管理等一系列管理制度，</w:t>
      </w:r>
      <w:r>
        <w:rPr>
          <w:rFonts w:hint="eastAsia" w:ascii="仿宋_GB2312" w:hAnsi="仿宋_GB2312" w:eastAsia="仿宋_GB2312" w:cs="仿宋_GB2312"/>
          <w:bCs/>
          <w:sz w:val="32"/>
          <w:szCs w:val="32"/>
          <w:lang w:bidi="ar"/>
        </w:rPr>
        <w:t>为部门财务管理工作提供了有效制度保障</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2023</w:t>
      </w:r>
      <w:r>
        <w:rPr>
          <w:rFonts w:hint="eastAsia" w:ascii="仿宋_GB2312" w:hAnsi="仿宋_GB2312" w:eastAsia="仿宋_GB2312" w:cs="仿宋_GB2312"/>
          <w:kern w:val="0"/>
          <w:sz w:val="32"/>
          <w:szCs w:val="32"/>
        </w:rPr>
        <w:t>年，</w:t>
      </w:r>
      <w:r>
        <w:rPr>
          <w:rFonts w:hint="eastAsia" w:ascii="仿宋_GB2312" w:hAnsi="宋体" w:eastAsia="仿宋_GB2312" w:cs="宋体"/>
          <w:kern w:val="0"/>
          <w:sz w:val="32"/>
          <w:szCs w:val="32"/>
        </w:rPr>
        <w:t>进一步提升政府购买服务管理规范化水平，</w:t>
      </w:r>
      <w:r>
        <w:rPr>
          <w:rFonts w:hint="eastAsia" w:ascii="仿宋_GB2312" w:hAnsi="仿宋_GB2312" w:eastAsia="仿宋_GB2312" w:cs="仿宋_GB2312"/>
          <w:bCs/>
          <w:sz w:val="32"/>
          <w:szCs w:val="32"/>
        </w:rPr>
        <w:t>制定了</w:t>
      </w:r>
      <w:r>
        <w:rPr>
          <w:rFonts w:hint="eastAsia" w:ascii="仿宋_GB2312" w:hAnsi="仿宋_GB2312" w:eastAsia="仿宋_GB2312" w:cs="仿宋_GB2312"/>
          <w:kern w:val="0"/>
          <w:sz w:val="32"/>
          <w:szCs w:val="32"/>
        </w:rPr>
        <w:t>《北京市广播电视局政府购买服务和委托外包项目管理实施细则》，财务管理制度更加健全。</w:t>
      </w:r>
    </w:p>
    <w:p>
      <w:pPr>
        <w:adjustRightInd w:val="0"/>
        <w:snapToGrid w:val="0"/>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w:t>
      </w:r>
      <w:r>
        <w:rPr>
          <w:rFonts w:hint="eastAsia" w:ascii="仿宋_GB2312" w:hAnsi="宋体" w:eastAsia="仿宋_GB2312" w:cs="宋体"/>
          <w:kern w:val="0"/>
          <w:sz w:val="32"/>
          <w:szCs w:val="32"/>
        </w:rPr>
        <w:t>资金使用合规性和安全性</w:t>
      </w:r>
    </w:p>
    <w:p>
      <w:pPr>
        <w:widowControl/>
        <w:adjustRightInd w:val="0"/>
        <w:snapToGrid w:val="0"/>
        <w:spacing w:line="560" w:lineRule="exact"/>
        <w:ind w:firstLine="640"/>
        <w:rPr>
          <w:rFonts w:ascii="仿宋_GB2312" w:hAnsi="仿宋" w:eastAsia="仿宋_GB2312"/>
          <w:sz w:val="32"/>
          <w:szCs w:val="32"/>
        </w:rPr>
      </w:pPr>
      <w:r>
        <w:rPr>
          <w:rFonts w:hint="eastAsia" w:ascii="仿宋_GB2312" w:hAnsi="仿宋" w:eastAsia="仿宋_GB2312"/>
          <w:sz w:val="32"/>
          <w:szCs w:val="32"/>
        </w:rPr>
        <w:t>市广电局严格执行国家及北京市财经法规和局内经费支出管理办法、专项资金管理办法等财务管理制度，不存在截留、挤占、挪用、虚列支出等情况。重大支出实行集体决策机制，采购管理严格执行政府采购规定及局内采购要求，资金支付履行报批手续。资金使用合规、运行安全。</w:t>
      </w:r>
    </w:p>
    <w:p>
      <w:pPr>
        <w:widowControl/>
        <w:adjustRightInd w:val="0"/>
        <w:snapToGrid w:val="0"/>
        <w:spacing w:line="560" w:lineRule="exact"/>
        <w:ind w:firstLine="640"/>
        <w:rPr>
          <w:rFonts w:ascii="仿宋_GB2312" w:hAnsi="宋体" w:eastAsia="仿宋_GB2312" w:cs="宋体"/>
          <w:kern w:val="0"/>
          <w:sz w:val="32"/>
          <w:szCs w:val="32"/>
        </w:rPr>
      </w:pPr>
      <w:r>
        <w:rPr>
          <w:rFonts w:ascii="仿宋_GB2312" w:hAnsi="宋体" w:eastAsia="仿宋_GB2312" w:cs="宋体"/>
          <w:kern w:val="0"/>
          <w:sz w:val="32"/>
          <w:szCs w:val="32"/>
        </w:rPr>
        <w:t>3.</w:t>
      </w:r>
      <w:r>
        <w:rPr>
          <w:rFonts w:hint="eastAsia" w:ascii="仿宋_GB2312" w:hAnsi="宋体" w:eastAsia="仿宋_GB2312" w:cs="宋体"/>
          <w:kern w:val="0"/>
          <w:sz w:val="32"/>
          <w:szCs w:val="32"/>
        </w:rPr>
        <w:t>会计基础信息完善性</w:t>
      </w:r>
    </w:p>
    <w:p>
      <w:pPr>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市广电局严格按照国家统一的会计制度，以</w:t>
      </w:r>
      <w:r>
        <w:rPr>
          <w:rFonts w:ascii="仿宋_GB2312" w:hAnsi="宋体" w:eastAsia="仿宋_GB2312" w:cs="宋体"/>
          <w:kern w:val="0"/>
          <w:sz w:val="32"/>
          <w:szCs w:val="32"/>
        </w:rPr>
        <w:t>实际</w:t>
      </w:r>
      <w:r>
        <w:rPr>
          <w:rFonts w:hint="eastAsia" w:ascii="仿宋_GB2312" w:hAnsi="宋体" w:eastAsia="仿宋_GB2312" w:cs="宋体"/>
          <w:kern w:val="0"/>
          <w:sz w:val="32"/>
          <w:szCs w:val="32"/>
        </w:rPr>
        <w:t>发生</w:t>
      </w:r>
      <w:r>
        <w:rPr>
          <w:rFonts w:ascii="仿宋_GB2312" w:hAnsi="宋体" w:eastAsia="仿宋_GB2312" w:cs="宋体"/>
          <w:kern w:val="0"/>
          <w:sz w:val="32"/>
          <w:szCs w:val="32"/>
        </w:rPr>
        <w:t>的交易或事项为依据，</w:t>
      </w:r>
      <w:r>
        <w:rPr>
          <w:rFonts w:hint="eastAsia" w:ascii="仿宋_GB2312" w:hAnsi="宋体" w:eastAsia="仿宋_GB2312" w:cs="宋体"/>
          <w:kern w:val="0"/>
          <w:sz w:val="32"/>
          <w:szCs w:val="32"/>
        </w:rPr>
        <w:t>开展会计核算，编制财务报表报告，及时整理会计档案，会计基础信息真实、准确、完整。</w:t>
      </w:r>
    </w:p>
    <w:p>
      <w:pPr>
        <w:numPr>
          <w:ilvl w:val="0"/>
          <w:numId w:val="1"/>
        </w:numPr>
        <w:adjustRightInd w:val="0"/>
        <w:snapToGrid w:val="0"/>
        <w:spacing w:line="560" w:lineRule="exact"/>
        <w:ind w:firstLine="640" w:firstLineChars="200"/>
        <w:outlineLvl w:val="1"/>
        <w:rPr>
          <w:rFonts w:ascii="楷体_GB2312" w:hAnsi="楷体_GB2312" w:eastAsia="楷体_GB2312" w:cs="楷体_GB2312"/>
          <w:sz w:val="32"/>
          <w:szCs w:val="32"/>
        </w:rPr>
      </w:pPr>
      <w:r>
        <w:rPr>
          <w:rFonts w:hint="eastAsia" w:ascii="楷体_GB2312" w:hAnsi="楷体_GB2312" w:eastAsia="楷体_GB2312" w:cs="楷体_GB2312"/>
          <w:sz w:val="32"/>
          <w:szCs w:val="32"/>
        </w:rPr>
        <w:t>资产管理</w:t>
      </w:r>
    </w:p>
    <w:p>
      <w:pPr>
        <w:adjustRightInd w:val="0"/>
        <w:snapToGri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市广电局结合局实际情况，制定《北京市广播电视局国有资产管理办法》，明确了资产管理机构与职责、资产配置、资产使用</w:t>
      </w:r>
      <w:r>
        <w:rPr>
          <w:rFonts w:ascii="仿宋_GB2312" w:hAnsi="宋体" w:eastAsia="仿宋_GB2312" w:cs="宋体"/>
          <w:kern w:val="0"/>
          <w:sz w:val="32"/>
          <w:szCs w:val="32"/>
        </w:rPr>
        <w:t>、</w:t>
      </w:r>
      <w:r>
        <w:rPr>
          <w:rFonts w:hint="eastAsia" w:ascii="仿宋_GB2312" w:hAnsi="宋体" w:eastAsia="仿宋_GB2312" w:cs="宋体"/>
          <w:kern w:val="0"/>
          <w:sz w:val="32"/>
          <w:szCs w:val="32"/>
        </w:rPr>
        <w:t>资产</w:t>
      </w:r>
      <w:r>
        <w:rPr>
          <w:rFonts w:ascii="仿宋_GB2312" w:hAnsi="宋体" w:eastAsia="仿宋_GB2312" w:cs="宋体"/>
          <w:kern w:val="0"/>
          <w:sz w:val="32"/>
          <w:szCs w:val="32"/>
        </w:rPr>
        <w:t>清查</w:t>
      </w:r>
      <w:r>
        <w:rPr>
          <w:rFonts w:hint="eastAsia" w:ascii="仿宋_GB2312" w:hAnsi="宋体" w:eastAsia="仿宋_GB2312" w:cs="宋体"/>
          <w:kern w:val="0"/>
          <w:sz w:val="32"/>
          <w:szCs w:val="32"/>
        </w:rPr>
        <w:t>、</w:t>
      </w:r>
      <w:r>
        <w:rPr>
          <w:rFonts w:ascii="仿宋_GB2312" w:hAnsi="宋体" w:eastAsia="仿宋_GB2312" w:cs="宋体"/>
          <w:kern w:val="0"/>
          <w:sz w:val="32"/>
          <w:szCs w:val="32"/>
        </w:rPr>
        <w:t>资产处置等相关要求</w:t>
      </w:r>
      <w:r>
        <w:rPr>
          <w:rFonts w:hint="eastAsia" w:ascii="仿宋_GB2312" w:hAnsi="宋体" w:eastAsia="仿宋_GB2312" w:cs="宋体"/>
          <w:kern w:val="0"/>
          <w:sz w:val="32"/>
          <w:szCs w:val="32"/>
        </w:rPr>
        <w:t>。资产管理严格执行上述规定，严控资产预算，设立资产台账，定期开展资产清查，规范资产处置，全面加强资产管理，提升了资产管理的质量和水平。</w:t>
      </w:r>
    </w:p>
    <w:p>
      <w:pPr>
        <w:adjustRightInd w:val="0"/>
        <w:snapToGrid w:val="0"/>
        <w:spacing w:line="560" w:lineRule="exact"/>
        <w:ind w:firstLine="640" w:firstLineChars="200"/>
        <w:outlineLvl w:val="1"/>
        <w:rPr>
          <w:rFonts w:ascii="楷体_GB2312" w:hAnsi="楷体_GB2312" w:eastAsia="楷体_GB2312" w:cs="楷体_GB2312"/>
          <w:sz w:val="32"/>
          <w:szCs w:val="32"/>
        </w:rPr>
      </w:pPr>
      <w:r>
        <w:rPr>
          <w:rFonts w:hint="eastAsia" w:ascii="楷体_GB2312" w:hAnsi="楷体_GB2312" w:eastAsia="楷体_GB2312" w:cs="楷体_GB2312"/>
          <w:sz w:val="32"/>
          <w:szCs w:val="32"/>
        </w:rPr>
        <w:t>（三）绩效管理</w:t>
      </w:r>
    </w:p>
    <w:p>
      <w:pPr>
        <w:adjustRightInd w:val="0"/>
        <w:snapToGrid w:val="0"/>
        <w:spacing w:line="560" w:lineRule="exact"/>
        <w:ind w:firstLine="640" w:firstLineChars="200"/>
        <w:rPr>
          <w:rFonts w:ascii="仿宋_GB2312" w:hAnsi="宋体" w:eastAsia="仿宋_GB2312" w:cs="宋体"/>
          <w:kern w:val="0"/>
          <w:sz w:val="32"/>
          <w:szCs w:val="32"/>
        </w:rPr>
      </w:pPr>
      <w:r>
        <w:rPr>
          <w:rFonts w:hint="eastAsia" w:ascii="仿宋_GB2312" w:hAnsi="仿宋_GB2312" w:eastAsia="仿宋_GB2312" w:cs="仿宋_GB2312"/>
          <w:kern w:val="0"/>
          <w:sz w:val="32"/>
          <w:szCs w:val="32"/>
        </w:rPr>
        <w:t>市广电局积极落实市财政全面预算绩效管理工作要求，</w:t>
      </w:r>
      <w:r>
        <w:rPr>
          <w:rFonts w:hint="eastAsia" w:ascii="仿宋_GB2312" w:hAnsi="仿宋_GB2312" w:eastAsia="仿宋_GB2312" w:cs="仿宋_GB2312"/>
          <w:sz w:val="32"/>
          <w:szCs w:val="32"/>
        </w:rPr>
        <w:t>推动</w:t>
      </w:r>
      <w:r>
        <w:rPr>
          <w:rFonts w:hint="eastAsia" w:ascii="仿宋_GB2312" w:hAnsi="仿宋_GB2312" w:eastAsia="仿宋_GB2312" w:cs="仿宋_GB2312"/>
          <w:sz w:val="32"/>
          <w:szCs w:val="32"/>
          <w:lang w:val="en"/>
        </w:rPr>
        <w:t>预算绩效管理工作走深走</w:t>
      </w:r>
      <w:r>
        <w:rPr>
          <w:rFonts w:ascii="仿宋_GB2312" w:hAnsi="仿宋_GB2312" w:eastAsia="仿宋_GB2312" w:cs="仿宋_GB2312"/>
          <w:sz w:val="32"/>
          <w:szCs w:val="32"/>
          <w:lang w:val="en"/>
        </w:rPr>
        <w:t>实</w:t>
      </w:r>
      <w:r>
        <w:rPr>
          <w:rFonts w:hint="eastAsia" w:ascii="仿宋_GB2312" w:hAnsi="仿宋_GB2312" w:eastAsia="仿宋_GB2312" w:cs="仿宋_GB2312"/>
          <w:kern w:val="0"/>
          <w:sz w:val="32"/>
          <w:szCs w:val="32"/>
        </w:rPr>
        <w:t>。</w:t>
      </w:r>
      <w:r>
        <w:rPr>
          <w:rFonts w:hint="eastAsia" w:ascii="仿宋_GB2312" w:hAnsi="仿宋_GB2312" w:eastAsia="仿宋_GB2312" w:cs="仿宋_GB2312"/>
          <w:sz w:val="32"/>
          <w:szCs w:val="32"/>
          <w:lang w:val="en"/>
        </w:rPr>
        <w:t>做实事前绩效评估，严格项目准入。</w:t>
      </w:r>
      <w:r>
        <w:rPr>
          <w:rFonts w:hint="eastAsia" w:ascii="仿宋_GB2312" w:hAnsi="仿宋_GB2312" w:eastAsia="仿宋_GB2312" w:cs="仿宋_GB2312"/>
          <w:sz w:val="32"/>
          <w:szCs w:val="32"/>
        </w:rPr>
        <w:t>优化绩效目标设置，夯实绩效管理基础。扎实推进绩效监控，及时督促纠偏。</w:t>
      </w:r>
      <w:r>
        <w:rPr>
          <w:rStyle w:val="20"/>
          <w:rFonts w:hint="eastAsia" w:ascii="仿宋_GB2312" w:hAnsi="仿宋_GB2312" w:eastAsia="仿宋_GB2312" w:cs="仿宋_GB2312"/>
          <w:sz w:val="32"/>
          <w:szCs w:val="32"/>
        </w:rPr>
        <w:t>强化绩效评价质量和结果应用</w:t>
      </w:r>
      <w:r>
        <w:rPr>
          <w:rFonts w:hint="eastAsia" w:ascii="仿宋_GB2312" w:hAnsi="仿宋_GB2312" w:eastAsia="仿宋_GB2312" w:cs="仿宋_GB2312"/>
          <w:sz w:val="32"/>
          <w:szCs w:val="32"/>
        </w:rPr>
        <w:t>，</w:t>
      </w:r>
      <w:r>
        <w:rPr>
          <w:rStyle w:val="20"/>
          <w:rFonts w:hint="eastAsia" w:ascii="仿宋_GB2312" w:hAnsi="仿宋_GB2312" w:eastAsia="仿宋_GB2312" w:cs="仿宋_GB2312"/>
          <w:sz w:val="32"/>
          <w:szCs w:val="32"/>
        </w:rPr>
        <w:t>提升资金效能。</w:t>
      </w:r>
      <w:r>
        <w:rPr>
          <w:rFonts w:hint="eastAsia" w:ascii="仿宋_GB2312" w:hAnsi="仿宋_GB2312" w:eastAsia="仿宋_GB2312" w:cs="仿宋_GB2312"/>
          <w:sz w:val="32"/>
          <w:szCs w:val="32"/>
        </w:rPr>
        <w:t>高质量开展成本绩效分析，强化成本控制</w:t>
      </w:r>
      <w:r>
        <w:rPr>
          <w:rStyle w:val="15"/>
          <w:rFonts w:hint="eastAsia" w:ascii="仿宋_GB2312" w:hAnsi="仿宋_GB2312" w:eastAsia="仿宋_GB2312" w:cs="仿宋_GB2312"/>
          <w:sz w:val="32"/>
          <w:szCs w:val="32"/>
        </w:rPr>
        <w:t>，“行政村发射站运维项目成本绩效分析报告”被市财政局</w:t>
      </w:r>
      <w:r>
        <w:rPr>
          <w:rFonts w:hint="eastAsia" w:ascii="仿宋_GB2312" w:hAnsi="仿宋_GB2312" w:eastAsia="仿宋_GB2312" w:cs="仿宋_GB2312"/>
          <w:sz w:val="32"/>
          <w:szCs w:val="32"/>
        </w:rPr>
        <w:t>评为“优秀”。</w:t>
      </w:r>
    </w:p>
    <w:p>
      <w:pPr>
        <w:adjustRightInd w:val="0"/>
        <w:snapToGrid w:val="0"/>
        <w:spacing w:line="560" w:lineRule="exact"/>
        <w:ind w:firstLine="640" w:firstLineChars="200"/>
        <w:outlineLvl w:val="1"/>
        <w:rPr>
          <w:rFonts w:ascii="楷体_GB2312" w:hAnsi="楷体_GB2312" w:eastAsia="楷体_GB2312" w:cs="楷体_GB2312"/>
          <w:sz w:val="32"/>
          <w:szCs w:val="32"/>
        </w:rPr>
      </w:pPr>
      <w:r>
        <w:rPr>
          <w:rFonts w:hint="eastAsia" w:ascii="楷体_GB2312" w:hAnsi="楷体_GB2312" w:eastAsia="楷体_GB2312" w:cs="楷体_GB2312"/>
          <w:sz w:val="32"/>
          <w:szCs w:val="32"/>
        </w:rPr>
        <w:t>（四）结转结余率</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2023年底，市广电局结转结余资金3,472.07万元，支出预算数57,684.00万元，结转结余率6.02%，比2022年7.34%下降</w:t>
      </w:r>
      <w:r>
        <w:rPr>
          <w:rFonts w:ascii="仿宋_GB2312" w:eastAsia="仿宋_GB2312"/>
          <w:sz w:val="32"/>
          <w:szCs w:val="32"/>
          <w:lang w:val="en"/>
        </w:rPr>
        <w:t>1.</w:t>
      </w:r>
      <w:r>
        <w:rPr>
          <w:rFonts w:hint="eastAsia" w:ascii="仿宋_GB2312" w:eastAsia="仿宋_GB2312"/>
          <w:sz w:val="32"/>
          <w:szCs w:val="32"/>
        </w:rPr>
        <w:t>3</w:t>
      </w:r>
      <w:r>
        <w:rPr>
          <w:rFonts w:ascii="仿宋_GB2312" w:eastAsia="仿宋_GB2312"/>
          <w:sz w:val="32"/>
          <w:szCs w:val="32"/>
          <w:lang w:val="en"/>
        </w:rPr>
        <w:t>2</w:t>
      </w:r>
      <w:r>
        <w:rPr>
          <w:rFonts w:hint="eastAsia" w:ascii="仿宋_GB2312" w:eastAsia="仿宋_GB2312"/>
          <w:sz w:val="32"/>
          <w:szCs w:val="32"/>
        </w:rPr>
        <w:t>%。</w:t>
      </w:r>
    </w:p>
    <w:p>
      <w:pPr>
        <w:adjustRightInd w:val="0"/>
        <w:snapToGrid w:val="0"/>
        <w:spacing w:line="560" w:lineRule="exact"/>
        <w:ind w:firstLine="640" w:firstLineChars="200"/>
        <w:outlineLvl w:val="1"/>
        <w:rPr>
          <w:rFonts w:ascii="楷体_GB2312" w:hAnsi="楷体_GB2312" w:eastAsia="楷体_GB2312" w:cs="楷体_GB2312"/>
          <w:sz w:val="32"/>
          <w:szCs w:val="32"/>
        </w:rPr>
      </w:pPr>
      <w:r>
        <w:rPr>
          <w:rFonts w:hint="eastAsia" w:ascii="楷体_GB2312" w:hAnsi="楷体_GB2312" w:eastAsia="楷体_GB2312" w:cs="楷体_GB2312"/>
          <w:sz w:val="32"/>
          <w:szCs w:val="32"/>
        </w:rPr>
        <w:t>（五）部门预决算差异率</w:t>
      </w:r>
    </w:p>
    <w:p>
      <w:pPr>
        <w:adjustRightInd w:val="0"/>
        <w:snapToGrid w:val="0"/>
        <w:spacing w:line="560" w:lineRule="exact"/>
        <w:ind w:firstLine="640" w:firstLineChars="200"/>
        <w:rPr>
          <w:rFonts w:ascii="黑体" w:hAnsi="黑体" w:eastAsia="黑体" w:cs="宋体"/>
          <w:kern w:val="0"/>
          <w:sz w:val="32"/>
          <w:szCs w:val="32"/>
        </w:rPr>
      </w:pPr>
      <w:r>
        <w:rPr>
          <w:rFonts w:hint="eastAsia" w:ascii="仿宋_GB2312" w:eastAsia="仿宋_GB2312"/>
          <w:sz w:val="32"/>
          <w:szCs w:val="32"/>
        </w:rPr>
        <w:t>2023年，市广电局年初预算批复数为55,057.86万元，决算数为57,684.00万元，差异2，626.14万元，差异率4.77%。</w:t>
      </w:r>
    </w:p>
    <w:p>
      <w:pPr>
        <w:adjustRightInd w:val="0"/>
        <w:snapToGrid w:val="0"/>
        <w:spacing w:line="560" w:lineRule="exact"/>
        <w:ind w:firstLine="640" w:firstLineChars="200"/>
        <w:outlineLvl w:val="0"/>
        <w:rPr>
          <w:rFonts w:ascii="黑体" w:hAnsi="黑体" w:eastAsia="黑体" w:cs="宋体"/>
          <w:kern w:val="0"/>
          <w:sz w:val="32"/>
          <w:szCs w:val="32"/>
        </w:rPr>
      </w:pPr>
      <w:r>
        <w:rPr>
          <w:rFonts w:hint="eastAsia" w:ascii="黑体" w:hAnsi="黑体" w:eastAsia="黑体" w:cs="宋体"/>
          <w:kern w:val="0"/>
          <w:sz w:val="32"/>
          <w:szCs w:val="32"/>
        </w:rPr>
        <w:t>五、总体评价结论</w:t>
      </w:r>
    </w:p>
    <w:p>
      <w:pPr>
        <w:adjustRightInd w:val="0"/>
        <w:snapToGrid w:val="0"/>
        <w:spacing w:line="560" w:lineRule="exact"/>
        <w:ind w:firstLine="640" w:firstLineChars="200"/>
        <w:outlineLvl w:val="1"/>
        <w:rPr>
          <w:rFonts w:ascii="楷体_GB2312" w:hAnsi="楷体_GB2312" w:eastAsia="楷体_GB2312" w:cs="楷体_GB2312"/>
          <w:sz w:val="32"/>
          <w:szCs w:val="32"/>
        </w:rPr>
      </w:pPr>
      <w:r>
        <w:rPr>
          <w:rFonts w:hint="eastAsia" w:ascii="楷体_GB2312" w:hAnsi="楷体_GB2312" w:eastAsia="楷体_GB2312" w:cs="楷体_GB2312"/>
          <w:sz w:val="32"/>
          <w:szCs w:val="32"/>
        </w:rPr>
        <w:t>（一）评价得分情况</w:t>
      </w:r>
    </w:p>
    <w:p>
      <w:pPr>
        <w:adjustRightInd w:val="0"/>
        <w:snapToGrid w:val="0"/>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经过全面、系统、客观地分析评价，市广电局综合得分为</w:t>
      </w:r>
      <w:r>
        <w:rPr>
          <w:rFonts w:ascii="仿宋_GB2312" w:hAnsi="仿宋_GB2312" w:eastAsia="仿宋_GB2312" w:cs="仿宋_GB2312"/>
          <w:kern w:val="0"/>
          <w:sz w:val="32"/>
          <w:szCs w:val="32"/>
        </w:rPr>
        <w:t>96.2</w:t>
      </w:r>
      <w:r>
        <w:rPr>
          <w:rFonts w:hint="eastAsia" w:ascii="仿宋_GB2312" w:hAnsi="仿宋_GB2312" w:eastAsia="仿宋_GB2312" w:cs="仿宋_GB2312"/>
          <w:kern w:val="0"/>
          <w:sz w:val="32"/>
          <w:szCs w:val="32"/>
        </w:rPr>
        <w:t>0分，综合评价等级为“优”。</w:t>
      </w:r>
    </w:p>
    <w:p>
      <w:pPr>
        <w:adjustRightInd w:val="0"/>
        <w:snapToGrid w:val="0"/>
        <w:spacing w:line="560" w:lineRule="exact"/>
        <w:ind w:firstLine="640" w:firstLineChars="200"/>
        <w:outlineLvl w:val="1"/>
        <w:rPr>
          <w:rFonts w:ascii="楷体_GB2312" w:hAnsi="楷体_GB2312" w:eastAsia="楷体_GB2312" w:cs="楷体_GB2312"/>
          <w:sz w:val="32"/>
          <w:szCs w:val="32"/>
        </w:rPr>
      </w:pPr>
      <w:r>
        <w:rPr>
          <w:rFonts w:hint="eastAsia" w:ascii="楷体_GB2312" w:hAnsi="楷体_GB2312" w:eastAsia="楷体_GB2312" w:cs="楷体_GB2312"/>
          <w:sz w:val="32"/>
          <w:szCs w:val="32"/>
        </w:rPr>
        <w:t>（二）存在的问题及原因分析</w:t>
      </w:r>
    </w:p>
    <w:p>
      <w:pPr>
        <w:adjustRightInd w:val="0"/>
        <w:snapToGri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市广电局不断强化绩效理念，预算资金合理使用，预算绩效管理水平不断提升，但个别项目绩效目标设定与实际工作结合的紧密度有提升空间。</w:t>
      </w:r>
    </w:p>
    <w:p>
      <w:pPr>
        <w:numPr>
          <w:ilvl w:val="255"/>
          <w:numId w:val="0"/>
        </w:numPr>
        <w:adjustRightInd w:val="0"/>
        <w:snapToGrid w:val="0"/>
        <w:spacing w:line="560" w:lineRule="exact"/>
        <w:ind w:firstLine="640" w:firstLineChars="200"/>
        <w:outlineLvl w:val="0"/>
        <w:rPr>
          <w:rFonts w:ascii="黑体" w:hAnsi="黑体" w:eastAsia="黑体" w:cs="宋体"/>
          <w:kern w:val="0"/>
          <w:sz w:val="32"/>
          <w:szCs w:val="32"/>
        </w:rPr>
      </w:pPr>
      <w:r>
        <w:rPr>
          <w:rFonts w:hint="eastAsia" w:ascii="黑体" w:hAnsi="黑体" w:eastAsia="黑体" w:cs="宋体"/>
          <w:kern w:val="0"/>
          <w:sz w:val="32"/>
          <w:szCs w:val="32"/>
        </w:rPr>
        <w:t>六、措施建议</w:t>
      </w:r>
    </w:p>
    <w:p>
      <w:pPr>
        <w:pBdr>
          <w:bottom w:val="single" w:color="FFFFFF" w:sz="4" w:space="31"/>
        </w:pBdr>
        <w:adjustRightInd w:val="0"/>
        <w:snapToGrid w:val="0"/>
        <w:spacing w:line="56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进一步强化绩效目标设定，对项目工作内容进行深刻剖析和分解，结合每项工作的核心产出和效益设置绩效目标，确保绩效目标与项目内容紧密相关。</w:t>
      </w:r>
    </w:p>
    <w:p>
      <w:pPr>
        <w:pBdr>
          <w:bottom w:val="single" w:color="FFFFFF" w:sz="4" w:space="31"/>
        </w:pBdr>
        <w:adjustRightInd w:val="0"/>
        <w:snapToGrid w:val="0"/>
        <w:spacing w:line="560" w:lineRule="exact"/>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425" w:num="1"/>
          <w:docGrid w:type="lines" w:linePitch="312" w:charSpace="0"/>
        </w:sectPr>
      </w:pPr>
    </w:p>
    <w:tbl>
      <w:tblPr>
        <w:tblStyle w:val="11"/>
        <w:tblpPr w:leftFromText="180" w:rightFromText="180" w:vertAnchor="text" w:horzAnchor="page" w:tblpX="383" w:tblpY="600"/>
        <w:tblOverlap w:val="never"/>
        <w:tblW w:w="574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
        <w:gridCol w:w="1039"/>
        <w:gridCol w:w="1208"/>
        <w:gridCol w:w="2323"/>
        <w:gridCol w:w="3493"/>
        <w:gridCol w:w="691"/>
        <w:gridCol w:w="800"/>
        <w:gridCol w:w="2696"/>
        <w:gridCol w:w="3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9" w:hRule="atLeast"/>
        </w:trPr>
        <w:tc>
          <w:tcPr>
            <w:tcW w:w="5000" w:type="pct"/>
            <w:gridSpan w:val="9"/>
            <w:tcBorders>
              <w:top w:val="nil"/>
              <w:left w:val="nil"/>
              <w:bottom w:val="single" w:color="auto" w:sz="4" w:space="0"/>
              <w:right w:val="nil"/>
            </w:tcBorders>
            <w:noWrap/>
            <w:vAlign w:val="bottom"/>
          </w:tcPr>
          <w:p>
            <w:pPr>
              <w:widowControl/>
              <w:jc w:val="center"/>
              <w:rPr>
                <w:rFonts w:ascii="方正小标宋简体" w:hAnsi="黑体" w:eastAsia="方正小标宋简体" w:cs="宋体"/>
                <w:kern w:val="0"/>
                <w:sz w:val="28"/>
                <w:szCs w:val="28"/>
              </w:rPr>
            </w:pPr>
            <w:r>
              <w:rPr>
                <w:rFonts w:hint="eastAsia" w:ascii="方正小标宋简体" w:hAnsi="黑体" w:eastAsia="方正小标宋简体" w:cs="宋体"/>
                <w:kern w:val="0"/>
                <w:sz w:val="44"/>
                <w:szCs w:val="44"/>
              </w:rPr>
              <w:t>2023年部门整体绩效评价指标体系评分表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000" w:type="pct"/>
            <w:gridSpan w:val="9"/>
            <w:tcBorders>
              <w:top w:val="single" w:color="auto" w:sz="4" w:space="0"/>
            </w:tcBorders>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r>
              <w:rPr>
                <w:rFonts w:hint="eastAsia" w:ascii="宋体" w:hAnsi="宋体" w:cs="宋体"/>
                <w:kern w:val="0"/>
                <w:sz w:val="20"/>
                <w:szCs w:val="20"/>
              </w:rPr>
              <w:t>一、当年预算执行情况（20分）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trPr>
        <w:tc>
          <w:tcPr>
            <w:tcW w:w="227"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一</w:t>
            </w:r>
            <w:r>
              <w:rPr>
                <w:rFonts w:ascii="宋体" w:hAnsi="宋体" w:cs="宋体"/>
                <w:kern w:val="0"/>
                <w:sz w:val="20"/>
                <w:szCs w:val="20"/>
              </w:rPr>
              <w:t>级指标</w:t>
            </w:r>
            <w:r>
              <w:rPr>
                <w:rFonts w:hint="eastAsia" w:ascii="宋体" w:hAnsi="宋体" w:cs="宋体"/>
                <w:kern w:val="0"/>
                <w:sz w:val="20"/>
                <w:szCs w:val="20"/>
              </w:rPr>
              <w:t>　</w:t>
            </w:r>
          </w:p>
        </w:tc>
        <w:tc>
          <w:tcPr>
            <w:tcW w:w="319"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二</w:t>
            </w:r>
            <w:r>
              <w:rPr>
                <w:rFonts w:ascii="宋体" w:hAnsi="宋体" w:cs="宋体"/>
                <w:kern w:val="0"/>
                <w:sz w:val="20"/>
                <w:szCs w:val="20"/>
              </w:rPr>
              <w:t>级</w:t>
            </w: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ascii="宋体" w:hAnsi="宋体" w:cs="宋体"/>
                <w:kern w:val="0"/>
                <w:sz w:val="20"/>
                <w:szCs w:val="20"/>
              </w:rPr>
              <w:t>指标</w:t>
            </w:r>
            <w:r>
              <w:rPr>
                <w:rFonts w:hint="eastAsia" w:ascii="宋体" w:hAnsi="宋体" w:cs="宋体"/>
                <w:kern w:val="0"/>
                <w:sz w:val="20"/>
                <w:szCs w:val="20"/>
              </w:rPr>
              <w:t>　</w:t>
            </w:r>
          </w:p>
        </w:tc>
        <w:tc>
          <w:tcPr>
            <w:tcW w:w="371"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预算数</w:t>
            </w: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（万元）</w:t>
            </w:r>
          </w:p>
        </w:tc>
        <w:tc>
          <w:tcPr>
            <w:tcW w:w="713"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执行数（万元）</w:t>
            </w:r>
          </w:p>
        </w:tc>
        <w:tc>
          <w:tcPr>
            <w:tcW w:w="1073"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预算执行率</w:t>
            </w:r>
          </w:p>
        </w:tc>
        <w:tc>
          <w:tcPr>
            <w:tcW w:w="212"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分值</w:t>
            </w:r>
          </w:p>
        </w:tc>
        <w:tc>
          <w:tcPr>
            <w:tcW w:w="245"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得分</w:t>
            </w:r>
          </w:p>
        </w:tc>
        <w:tc>
          <w:tcPr>
            <w:tcW w:w="828"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指标解释</w:t>
            </w:r>
          </w:p>
        </w:tc>
        <w:tc>
          <w:tcPr>
            <w:tcW w:w="1008"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27" w:type="pct"/>
            <w:vMerge w:val="restar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当年预算执行情况（20）</w:t>
            </w:r>
          </w:p>
        </w:tc>
        <w:tc>
          <w:tcPr>
            <w:tcW w:w="319"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资金</w:t>
            </w: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总体</w:t>
            </w:r>
          </w:p>
        </w:tc>
        <w:tc>
          <w:tcPr>
            <w:tcW w:w="371"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highlight w:val="yellow"/>
              </w:rPr>
            </w:pPr>
            <w:r>
              <w:rPr>
                <w:rFonts w:hint="eastAsia" w:ascii="宋体" w:hAnsi="宋体" w:cs="宋体"/>
                <w:kern w:val="0"/>
                <w:sz w:val="20"/>
                <w:szCs w:val="20"/>
              </w:rPr>
              <w:t>57,684.00</w:t>
            </w:r>
          </w:p>
        </w:tc>
        <w:tc>
          <w:tcPr>
            <w:tcW w:w="713"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highlight w:val="yellow"/>
              </w:rPr>
            </w:pPr>
            <w:r>
              <w:rPr>
                <w:rFonts w:hint="eastAsia" w:ascii="宋体" w:hAnsi="宋体" w:cs="宋体"/>
                <w:kern w:val="0"/>
                <w:sz w:val="20"/>
                <w:szCs w:val="20"/>
              </w:rPr>
              <w:t>54,211.93</w:t>
            </w:r>
          </w:p>
        </w:tc>
        <w:tc>
          <w:tcPr>
            <w:tcW w:w="1073"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93.98%</w:t>
            </w:r>
          </w:p>
        </w:tc>
        <w:tc>
          <w:tcPr>
            <w:tcW w:w="212" w:type="pct"/>
            <w:vMerge w:val="restart"/>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20</w:t>
            </w:r>
          </w:p>
        </w:tc>
        <w:tc>
          <w:tcPr>
            <w:tcW w:w="245" w:type="pct"/>
            <w:vMerge w:val="restart"/>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18.80</w:t>
            </w:r>
          </w:p>
        </w:tc>
        <w:tc>
          <w:tcPr>
            <w:tcW w:w="828" w:type="pct"/>
            <w:vMerge w:val="restart"/>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r>
              <w:rPr>
                <w:rFonts w:hint="eastAsia" w:ascii="宋体" w:hAnsi="宋体" w:cs="宋体"/>
                <w:kern w:val="0"/>
                <w:sz w:val="20"/>
                <w:szCs w:val="20"/>
              </w:rPr>
              <w:t>部门全年执行数与全年预算数的比率。资金总体=基本支出+项目支出+其他</w:t>
            </w:r>
          </w:p>
        </w:tc>
        <w:tc>
          <w:tcPr>
            <w:tcW w:w="1008" w:type="pct"/>
            <w:vMerge w:val="restart"/>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r>
              <w:rPr>
                <w:rFonts w:hint="eastAsia" w:ascii="宋体" w:hAnsi="宋体" w:cs="宋体"/>
                <w:kern w:val="0"/>
                <w:sz w:val="20"/>
                <w:szCs w:val="20"/>
              </w:rPr>
              <w:t>①得分一档最高不能超过该指标分值上限（20分）。</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r>
              <w:rPr>
                <w:rFonts w:hint="eastAsia" w:ascii="宋体" w:hAnsi="宋体" w:cs="宋体"/>
                <w:kern w:val="0"/>
                <w:sz w:val="20"/>
                <w:szCs w:val="20"/>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27"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c>
          <w:tcPr>
            <w:tcW w:w="319"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基本</w:t>
            </w: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支出</w:t>
            </w:r>
          </w:p>
        </w:tc>
        <w:tc>
          <w:tcPr>
            <w:tcW w:w="371"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highlight w:val="yellow"/>
              </w:rPr>
            </w:pPr>
            <w:r>
              <w:rPr>
                <w:rFonts w:hint="eastAsia" w:ascii="宋体" w:hAnsi="宋体" w:cs="宋体"/>
                <w:kern w:val="0"/>
                <w:sz w:val="20"/>
                <w:szCs w:val="20"/>
              </w:rPr>
              <w:t>11,143.95</w:t>
            </w:r>
          </w:p>
        </w:tc>
        <w:tc>
          <w:tcPr>
            <w:tcW w:w="713"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highlight w:val="yellow"/>
              </w:rPr>
            </w:pPr>
            <w:r>
              <w:rPr>
                <w:rFonts w:hint="eastAsia" w:ascii="宋体" w:hAnsi="宋体" w:cs="宋体"/>
                <w:kern w:val="0"/>
                <w:sz w:val="20"/>
                <w:szCs w:val="20"/>
              </w:rPr>
              <w:t>10,266.14</w:t>
            </w:r>
          </w:p>
        </w:tc>
        <w:tc>
          <w:tcPr>
            <w:tcW w:w="1073" w:type="pct"/>
            <w:vMerge w:val="restar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w:t>
            </w:r>
          </w:p>
        </w:tc>
        <w:tc>
          <w:tcPr>
            <w:tcW w:w="212"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c>
          <w:tcPr>
            <w:tcW w:w="245"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c>
          <w:tcPr>
            <w:tcW w:w="828"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c>
          <w:tcPr>
            <w:tcW w:w="1008"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27"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c>
          <w:tcPr>
            <w:tcW w:w="319"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项目</w:t>
            </w: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支出</w:t>
            </w:r>
          </w:p>
        </w:tc>
        <w:tc>
          <w:tcPr>
            <w:tcW w:w="371"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highlight w:val="yellow"/>
              </w:rPr>
            </w:pPr>
            <w:r>
              <w:rPr>
                <w:rFonts w:hint="eastAsia" w:ascii="宋体" w:hAnsi="宋体" w:cs="宋体"/>
                <w:kern w:val="0"/>
                <w:sz w:val="20"/>
                <w:szCs w:val="20"/>
              </w:rPr>
              <w:t>46,540.05</w:t>
            </w:r>
          </w:p>
        </w:tc>
        <w:tc>
          <w:tcPr>
            <w:tcW w:w="713"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highlight w:val="yellow"/>
              </w:rPr>
            </w:pPr>
            <w:r>
              <w:rPr>
                <w:rFonts w:hint="eastAsia" w:ascii="宋体" w:hAnsi="宋体" w:cs="宋体"/>
                <w:kern w:val="0"/>
                <w:sz w:val="20"/>
                <w:szCs w:val="20"/>
              </w:rPr>
              <w:t>43,945.79</w:t>
            </w:r>
          </w:p>
        </w:tc>
        <w:tc>
          <w:tcPr>
            <w:tcW w:w="1073"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c>
          <w:tcPr>
            <w:tcW w:w="212"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c>
          <w:tcPr>
            <w:tcW w:w="245"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c>
          <w:tcPr>
            <w:tcW w:w="828"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c>
          <w:tcPr>
            <w:tcW w:w="1008"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trPr>
        <w:tc>
          <w:tcPr>
            <w:tcW w:w="227"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c>
          <w:tcPr>
            <w:tcW w:w="319"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其他</w:t>
            </w:r>
          </w:p>
        </w:tc>
        <w:tc>
          <w:tcPr>
            <w:tcW w:w="371"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　-</w:t>
            </w:r>
          </w:p>
        </w:tc>
        <w:tc>
          <w:tcPr>
            <w:tcW w:w="713"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　</w:t>
            </w:r>
          </w:p>
        </w:tc>
        <w:tc>
          <w:tcPr>
            <w:tcW w:w="1073"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c>
          <w:tcPr>
            <w:tcW w:w="212"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c>
          <w:tcPr>
            <w:tcW w:w="245"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c>
          <w:tcPr>
            <w:tcW w:w="828"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c>
          <w:tcPr>
            <w:tcW w:w="1008"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trPr>
        <w:tc>
          <w:tcPr>
            <w:tcW w:w="5000" w:type="pct"/>
            <w:gridSpan w:val="9"/>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r>
              <w:rPr>
                <w:rFonts w:hint="eastAsia" w:ascii="宋体" w:hAnsi="宋体" w:cs="宋体"/>
                <w:kern w:val="0"/>
                <w:sz w:val="20"/>
                <w:szCs w:val="20"/>
              </w:rPr>
              <w:t>二</w:t>
            </w:r>
            <w:r>
              <w:rPr>
                <w:rFonts w:ascii="宋体" w:hAnsi="宋体" w:cs="宋体"/>
                <w:kern w:val="0"/>
                <w:sz w:val="20"/>
                <w:szCs w:val="20"/>
              </w:rPr>
              <w:t>、</w:t>
            </w:r>
            <w:r>
              <w:rPr>
                <w:rFonts w:hint="eastAsia" w:ascii="宋体" w:hAnsi="宋体" w:cs="宋体"/>
                <w:kern w:val="0"/>
                <w:sz w:val="20"/>
                <w:szCs w:val="20"/>
              </w:rPr>
              <w:t>整体绩效目标实现情况（60分）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27"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一</w:t>
            </w:r>
            <w:r>
              <w:rPr>
                <w:rFonts w:ascii="宋体" w:hAnsi="宋体" w:cs="宋体"/>
                <w:kern w:val="0"/>
                <w:sz w:val="20"/>
                <w:szCs w:val="20"/>
              </w:rPr>
              <w:t>级</w:t>
            </w: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ascii="宋体" w:hAnsi="宋体" w:cs="宋体"/>
                <w:kern w:val="0"/>
                <w:sz w:val="20"/>
                <w:szCs w:val="20"/>
              </w:rPr>
              <w:t>指标</w:t>
            </w:r>
          </w:p>
        </w:tc>
        <w:tc>
          <w:tcPr>
            <w:tcW w:w="319"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二</w:t>
            </w:r>
            <w:r>
              <w:rPr>
                <w:rFonts w:ascii="宋体" w:hAnsi="宋体" w:cs="宋体"/>
                <w:kern w:val="0"/>
                <w:sz w:val="20"/>
                <w:szCs w:val="20"/>
              </w:rPr>
              <w:t>级</w:t>
            </w: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ascii="宋体" w:hAnsi="宋体" w:cs="宋体"/>
                <w:kern w:val="0"/>
                <w:sz w:val="20"/>
                <w:szCs w:val="20"/>
              </w:rPr>
              <w:t>指标</w:t>
            </w:r>
            <w:r>
              <w:rPr>
                <w:rFonts w:hint="eastAsia" w:ascii="宋体" w:hAnsi="宋体" w:cs="宋体"/>
                <w:kern w:val="0"/>
                <w:sz w:val="20"/>
                <w:szCs w:val="20"/>
              </w:rPr>
              <w:t>　</w:t>
            </w:r>
          </w:p>
        </w:tc>
        <w:tc>
          <w:tcPr>
            <w:tcW w:w="371"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三</w:t>
            </w:r>
            <w:r>
              <w:rPr>
                <w:rFonts w:ascii="宋体" w:hAnsi="宋体" w:cs="宋体"/>
                <w:kern w:val="0"/>
                <w:sz w:val="20"/>
                <w:szCs w:val="20"/>
              </w:rPr>
              <w:t>级指标</w:t>
            </w:r>
            <w:r>
              <w:rPr>
                <w:rFonts w:hint="eastAsia" w:ascii="宋体" w:hAnsi="宋体" w:cs="宋体"/>
                <w:kern w:val="0"/>
                <w:sz w:val="20"/>
                <w:szCs w:val="20"/>
              </w:rPr>
              <w:t>　</w:t>
            </w:r>
          </w:p>
        </w:tc>
        <w:tc>
          <w:tcPr>
            <w:tcW w:w="713"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指标值</w:t>
            </w:r>
          </w:p>
        </w:tc>
        <w:tc>
          <w:tcPr>
            <w:tcW w:w="1073"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完成值</w:t>
            </w:r>
          </w:p>
        </w:tc>
        <w:tc>
          <w:tcPr>
            <w:tcW w:w="212"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分值</w:t>
            </w:r>
          </w:p>
        </w:tc>
        <w:tc>
          <w:tcPr>
            <w:tcW w:w="245"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得分</w:t>
            </w:r>
          </w:p>
        </w:tc>
        <w:tc>
          <w:tcPr>
            <w:tcW w:w="828"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bCs/>
                <w:kern w:val="0"/>
                <w:sz w:val="20"/>
                <w:szCs w:val="20"/>
              </w:rPr>
            </w:pPr>
            <w:r>
              <w:rPr>
                <w:rFonts w:hint="eastAsia" w:ascii="宋体" w:hAnsi="宋体" w:cs="宋体"/>
                <w:bCs/>
                <w:kern w:val="0"/>
                <w:sz w:val="20"/>
                <w:szCs w:val="20"/>
              </w:rPr>
              <w:t>指标</w:t>
            </w:r>
            <w:r>
              <w:rPr>
                <w:rFonts w:ascii="宋体" w:hAnsi="宋体" w:cs="宋体"/>
                <w:bCs/>
                <w:kern w:val="0"/>
                <w:sz w:val="20"/>
                <w:szCs w:val="20"/>
              </w:rPr>
              <w:t>解释</w:t>
            </w:r>
          </w:p>
        </w:tc>
        <w:tc>
          <w:tcPr>
            <w:tcW w:w="1008"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评</w:t>
            </w:r>
            <w:r>
              <w:rPr>
                <w:rFonts w:ascii="宋体" w:hAnsi="宋体" w:cs="宋体"/>
                <w:kern w:val="0"/>
                <w:sz w:val="20"/>
                <w:szCs w:val="20"/>
              </w:rPr>
              <w:t>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27" w:type="pct"/>
            <w:vMerge w:val="restart"/>
            <w:vAlign w:val="center"/>
          </w:tcPr>
          <w:p>
            <w:pPr>
              <w:keepNext w:val="0"/>
              <w:keepLines w:val="0"/>
              <w:pageBreakBefore w:val="0"/>
              <w:widowControl/>
              <w:kinsoku/>
              <w:wordWrap/>
              <w:overflowPunct/>
              <w:topLinePunct w:val="0"/>
              <w:autoSpaceDE/>
              <w:autoSpaceDN/>
              <w:bidi w:val="0"/>
              <w:adjustRightInd/>
              <w:snapToGrid/>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整体绩效目标实现情况（60）</w:t>
            </w: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textAlignment w:val="auto"/>
              <w:rPr>
                <w:rFonts w:ascii="宋体" w:hAnsi="宋体" w:cs="宋体"/>
                <w:kern w:val="0"/>
                <w:sz w:val="20"/>
                <w:szCs w:val="20"/>
              </w:rPr>
            </w:pPr>
          </w:p>
        </w:tc>
        <w:tc>
          <w:tcPr>
            <w:tcW w:w="319" w:type="pct"/>
            <w:vMerge w:val="restar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产出（30）</w:t>
            </w: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p>
            <w:pPr>
              <w:keepNext w:val="0"/>
              <w:keepLines w:val="0"/>
              <w:pageBreakBefore w:val="0"/>
              <w:widowControl/>
              <w:kinsoku/>
              <w:wordWrap/>
              <w:overflowPunct/>
              <w:topLinePunct w:val="0"/>
              <w:autoSpaceDE/>
              <w:autoSpaceDN/>
              <w:bidi w:val="0"/>
              <w:adjustRightInd/>
              <w:snapToGrid/>
              <w:textAlignment w:val="auto"/>
              <w:rPr>
                <w:rFonts w:ascii="宋体" w:hAnsi="宋体" w:cs="宋体"/>
                <w:kern w:val="0"/>
                <w:sz w:val="20"/>
                <w:szCs w:val="20"/>
              </w:rPr>
            </w:pPr>
          </w:p>
        </w:tc>
        <w:tc>
          <w:tcPr>
            <w:tcW w:w="371" w:type="pct"/>
            <w:vMerge w:val="restar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数量指标</w:t>
            </w:r>
          </w:p>
        </w:tc>
        <w:tc>
          <w:tcPr>
            <w:tcW w:w="713" w:type="pct"/>
            <w:vAlign w:val="center"/>
          </w:tcPr>
          <w:p>
            <w:pPr>
              <w:keepNext w:val="0"/>
              <w:keepLines w:val="0"/>
              <w:pageBreakBefore w:val="0"/>
              <w:widowControl/>
              <w:kinsoku/>
              <w:wordWrap/>
              <w:overflowPunct/>
              <w:topLinePunct w:val="0"/>
              <w:autoSpaceDE/>
              <w:autoSpaceDN/>
              <w:bidi w:val="0"/>
              <w:adjustRightInd/>
              <w:snapToGrid/>
              <w:textAlignment w:val="auto"/>
              <w:rPr>
                <w:rFonts w:ascii="宋体" w:hAnsi="宋体" w:cs="宋体"/>
                <w:kern w:val="0"/>
                <w:sz w:val="20"/>
                <w:szCs w:val="20"/>
              </w:rPr>
            </w:pPr>
            <w:r>
              <w:rPr>
                <w:rFonts w:hint="eastAsia" w:ascii="宋体" w:hAnsi="宋体" w:cs="宋体"/>
                <w:kern w:val="0"/>
                <w:sz w:val="20"/>
                <w:szCs w:val="20"/>
              </w:rPr>
              <w:t>维护571个行政村发射台站</w:t>
            </w:r>
          </w:p>
        </w:tc>
        <w:tc>
          <w:tcPr>
            <w:tcW w:w="1073" w:type="pct"/>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r>
              <w:rPr>
                <w:rFonts w:hint="eastAsia" w:ascii="宋体" w:hAnsi="宋体" w:cs="宋体"/>
                <w:kern w:val="0"/>
                <w:sz w:val="20"/>
                <w:szCs w:val="20"/>
              </w:rPr>
              <w:t>571个行政村发射台站运行维护</w:t>
            </w:r>
            <w:r>
              <w:rPr>
                <w:rFonts w:ascii="宋体" w:hAnsi="宋体" w:cs="宋体"/>
                <w:kern w:val="0"/>
                <w:sz w:val="20"/>
                <w:szCs w:val="20"/>
              </w:rPr>
              <w:t>工作全部完成</w:t>
            </w:r>
            <w:r>
              <w:rPr>
                <w:rFonts w:hint="eastAsia" w:ascii="宋体" w:hAnsi="宋体" w:cs="宋体"/>
                <w:kern w:val="0"/>
                <w:sz w:val="20"/>
                <w:szCs w:val="20"/>
              </w:rPr>
              <w:t>。</w:t>
            </w:r>
          </w:p>
        </w:tc>
        <w:tc>
          <w:tcPr>
            <w:tcW w:w="212"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color w:val="000000"/>
                <w:kern w:val="0"/>
                <w:sz w:val="20"/>
                <w:szCs w:val="20"/>
                <w:lang w:bidi="ar"/>
              </w:rPr>
              <w:t>3</w:t>
            </w:r>
          </w:p>
        </w:tc>
        <w:tc>
          <w:tcPr>
            <w:tcW w:w="245"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color w:val="000000"/>
                <w:kern w:val="0"/>
                <w:sz w:val="20"/>
                <w:szCs w:val="20"/>
                <w:lang w:bidi="ar"/>
              </w:rPr>
              <w:t>3</w:t>
            </w:r>
          </w:p>
        </w:tc>
        <w:tc>
          <w:tcPr>
            <w:tcW w:w="828" w:type="pct"/>
            <w:vMerge w:val="restart"/>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r>
              <w:rPr>
                <w:rFonts w:hint="eastAsia" w:ascii="宋体" w:hAnsi="宋体" w:cs="宋体"/>
                <w:b/>
                <w:bCs/>
                <w:kern w:val="0"/>
                <w:sz w:val="20"/>
                <w:szCs w:val="20"/>
              </w:rPr>
              <w:t>产出数量</w:t>
            </w:r>
            <w:r>
              <w:rPr>
                <w:rFonts w:hint="eastAsia" w:ascii="宋体" w:hAnsi="宋体" w:cs="宋体"/>
                <w:kern w:val="0"/>
                <w:sz w:val="20"/>
                <w:szCs w:val="20"/>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kern w:val="0"/>
                <w:sz w:val="20"/>
                <w:szCs w:val="20"/>
              </w:rPr>
              <w:t>产出质量</w:t>
            </w:r>
            <w:r>
              <w:rPr>
                <w:rFonts w:hint="eastAsia" w:ascii="宋体" w:hAnsi="宋体" w:cs="宋体"/>
                <w:kern w:val="0"/>
                <w:sz w:val="20"/>
                <w:szCs w:val="20"/>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kern w:val="0"/>
                <w:sz w:val="20"/>
                <w:szCs w:val="20"/>
              </w:rPr>
              <w:t>产出进度：</w:t>
            </w:r>
            <w:r>
              <w:rPr>
                <w:rFonts w:hint="eastAsia" w:ascii="宋体" w:hAnsi="宋体" w:cs="宋体"/>
                <w:kern w:val="0"/>
                <w:sz w:val="20"/>
                <w:szCs w:val="20"/>
              </w:rPr>
              <w:t>按时完成率=（按时完成工作数/实际完成工作数）×100%。按时完成工作数：部门（单位）按照整体绩效目标确定的时限实际完成的工作任务数量。</w:t>
            </w:r>
            <w:r>
              <w:rPr>
                <w:rFonts w:hint="eastAsia" w:ascii="宋体" w:hAnsi="宋体" w:cs="宋体"/>
                <w:b/>
                <w:bCs/>
                <w:kern w:val="0"/>
                <w:sz w:val="20"/>
                <w:szCs w:val="20"/>
              </w:rPr>
              <w:t>产出成本</w:t>
            </w:r>
            <w:r>
              <w:rPr>
                <w:rFonts w:hint="eastAsia" w:ascii="宋体" w:hAnsi="宋体" w:cs="宋体"/>
                <w:kern w:val="0"/>
                <w:sz w:val="20"/>
                <w:szCs w:val="20"/>
              </w:rPr>
              <w:t>：单位产出相对于上一年度的节约额；②单位产出相对于市场同类产出的节约额；③部门公用经费的控制情况。</w:t>
            </w:r>
          </w:p>
        </w:tc>
        <w:tc>
          <w:tcPr>
            <w:tcW w:w="1008" w:type="pct"/>
            <w:vMerge w:val="restart"/>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r>
              <w:rPr>
                <w:rFonts w:hint="eastAsia" w:ascii="宋体" w:hAnsi="宋体" w:cs="宋体"/>
                <w:kern w:val="0"/>
                <w:sz w:val="20"/>
                <w:szCs w:val="20"/>
              </w:rPr>
              <w:t>部门根据本单位情况自行确定并选择产出指标，合理确定各项指标权重。可量化的指标按照比率*单项指标分值即为该指标得分。如果不能定量评价，则以定性的方式进行自评。</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7" w:type="pct"/>
            <w:vMerge w:val="continue"/>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tc>
        <w:tc>
          <w:tcPr>
            <w:tcW w:w="319" w:type="pct"/>
            <w:vMerge w:val="continue"/>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tc>
        <w:tc>
          <w:tcPr>
            <w:tcW w:w="371" w:type="pct"/>
            <w:vMerge w:val="continue"/>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tc>
        <w:tc>
          <w:tcPr>
            <w:tcW w:w="713" w:type="pct"/>
            <w:vAlign w:val="center"/>
          </w:tcPr>
          <w:p>
            <w:pPr>
              <w:keepNext w:val="0"/>
              <w:keepLines w:val="0"/>
              <w:pageBreakBefore w:val="0"/>
              <w:widowControl/>
              <w:kinsoku/>
              <w:wordWrap/>
              <w:overflowPunct/>
              <w:topLinePunct w:val="0"/>
              <w:autoSpaceDE/>
              <w:autoSpaceDN/>
              <w:bidi w:val="0"/>
              <w:adjustRightInd/>
              <w:snapToGrid/>
              <w:textAlignment w:val="auto"/>
              <w:rPr>
                <w:rFonts w:ascii="宋体" w:hAnsi="宋体" w:cs="宋体"/>
                <w:kern w:val="0"/>
                <w:sz w:val="20"/>
                <w:szCs w:val="20"/>
              </w:rPr>
            </w:pPr>
            <w:r>
              <w:rPr>
                <w:rFonts w:hint="eastAsia" w:ascii="宋体" w:hAnsi="宋体" w:cs="宋体"/>
                <w:kern w:val="0"/>
                <w:sz w:val="20"/>
                <w:szCs w:val="20"/>
              </w:rPr>
              <w:t>维护</w:t>
            </w:r>
            <w:r>
              <w:rPr>
                <w:rFonts w:ascii="宋体" w:hAnsi="宋体" w:cs="宋体"/>
                <w:kern w:val="0"/>
                <w:sz w:val="20"/>
                <w:szCs w:val="20"/>
              </w:rPr>
              <w:t>5</w:t>
            </w:r>
            <w:r>
              <w:rPr>
                <w:rFonts w:hint="eastAsia" w:ascii="宋体" w:hAnsi="宋体" w:cs="宋体"/>
                <w:kern w:val="0"/>
                <w:sz w:val="20"/>
                <w:szCs w:val="20"/>
              </w:rPr>
              <w:t>个转播台站</w:t>
            </w:r>
          </w:p>
        </w:tc>
        <w:tc>
          <w:tcPr>
            <w:tcW w:w="1073" w:type="pct"/>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r>
              <w:rPr>
                <w:rFonts w:ascii="宋体" w:hAnsi="宋体" w:cs="宋体"/>
                <w:kern w:val="0"/>
                <w:sz w:val="20"/>
                <w:szCs w:val="20"/>
              </w:rPr>
              <w:t>5</w:t>
            </w:r>
            <w:r>
              <w:rPr>
                <w:rFonts w:hint="eastAsia" w:ascii="宋体" w:hAnsi="宋体" w:cs="宋体"/>
                <w:kern w:val="0"/>
                <w:sz w:val="20"/>
                <w:szCs w:val="20"/>
              </w:rPr>
              <w:t>个转播台站运行维护</w:t>
            </w:r>
            <w:r>
              <w:rPr>
                <w:rFonts w:ascii="宋体" w:hAnsi="宋体" w:cs="宋体"/>
                <w:kern w:val="0"/>
                <w:sz w:val="20"/>
                <w:szCs w:val="20"/>
              </w:rPr>
              <w:t>工作全部完成</w:t>
            </w:r>
            <w:r>
              <w:rPr>
                <w:rFonts w:hint="eastAsia" w:ascii="宋体" w:hAnsi="宋体" w:cs="宋体"/>
                <w:kern w:val="0"/>
                <w:sz w:val="20"/>
                <w:szCs w:val="20"/>
              </w:rPr>
              <w:t>。</w:t>
            </w:r>
          </w:p>
        </w:tc>
        <w:tc>
          <w:tcPr>
            <w:tcW w:w="212"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color w:val="000000"/>
                <w:kern w:val="0"/>
                <w:sz w:val="20"/>
                <w:szCs w:val="20"/>
                <w:lang w:bidi="ar"/>
              </w:rPr>
              <w:t>3</w:t>
            </w:r>
          </w:p>
        </w:tc>
        <w:tc>
          <w:tcPr>
            <w:tcW w:w="245"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color w:val="000000"/>
                <w:kern w:val="0"/>
                <w:sz w:val="20"/>
                <w:szCs w:val="20"/>
                <w:lang w:bidi="ar"/>
              </w:rPr>
              <w:t>3</w:t>
            </w:r>
          </w:p>
        </w:tc>
        <w:tc>
          <w:tcPr>
            <w:tcW w:w="828"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b/>
                <w:bCs/>
                <w:kern w:val="0"/>
                <w:sz w:val="20"/>
                <w:szCs w:val="20"/>
              </w:rPr>
            </w:pPr>
          </w:p>
        </w:tc>
        <w:tc>
          <w:tcPr>
            <w:tcW w:w="1008"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 w:hRule="atLeast"/>
        </w:trPr>
        <w:tc>
          <w:tcPr>
            <w:tcW w:w="227" w:type="pct"/>
            <w:vMerge w:val="continue"/>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tc>
        <w:tc>
          <w:tcPr>
            <w:tcW w:w="319" w:type="pct"/>
            <w:vMerge w:val="continue"/>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tc>
        <w:tc>
          <w:tcPr>
            <w:tcW w:w="371" w:type="pct"/>
            <w:vMerge w:val="restar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质量</w:t>
            </w:r>
            <w:r>
              <w:rPr>
                <w:rFonts w:ascii="宋体" w:hAnsi="宋体" w:cs="宋体"/>
                <w:kern w:val="0"/>
                <w:sz w:val="20"/>
                <w:szCs w:val="20"/>
              </w:rPr>
              <w:t>指标</w:t>
            </w:r>
          </w:p>
        </w:tc>
        <w:tc>
          <w:tcPr>
            <w:tcW w:w="713" w:type="pct"/>
            <w:vAlign w:val="center"/>
          </w:tcPr>
          <w:p>
            <w:pPr>
              <w:keepNext w:val="0"/>
              <w:keepLines w:val="0"/>
              <w:pageBreakBefore w:val="0"/>
              <w:widowControl/>
              <w:kinsoku/>
              <w:wordWrap/>
              <w:overflowPunct/>
              <w:topLinePunct w:val="0"/>
              <w:autoSpaceDE/>
              <w:autoSpaceDN/>
              <w:bidi w:val="0"/>
              <w:adjustRightInd/>
              <w:snapToGrid/>
              <w:textAlignment w:val="auto"/>
              <w:rPr>
                <w:rFonts w:ascii="宋体" w:hAnsi="宋体" w:cs="宋体"/>
                <w:kern w:val="0"/>
                <w:sz w:val="20"/>
                <w:szCs w:val="20"/>
              </w:rPr>
            </w:pPr>
            <w:r>
              <w:rPr>
                <w:rFonts w:hint="eastAsia" w:ascii="宋体" w:hAnsi="宋体" w:cs="宋体"/>
                <w:color w:val="000000"/>
                <w:kern w:val="0"/>
                <w:sz w:val="20"/>
                <w:szCs w:val="20"/>
                <w:lang w:bidi="ar"/>
              </w:rPr>
              <w:t>牢牢把握正确舆论导向，做细做实广播电视网络视听高质量发展中的意识形态工作</w:t>
            </w:r>
          </w:p>
        </w:tc>
        <w:tc>
          <w:tcPr>
            <w:tcW w:w="1073" w:type="pct"/>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r>
              <w:rPr>
                <w:rFonts w:hint="eastAsia" w:ascii="宋体" w:hAnsi="宋体" w:cs="宋体"/>
                <w:kern w:val="0"/>
                <w:sz w:val="20"/>
                <w:szCs w:val="20"/>
              </w:rPr>
              <w:t>牢牢把握正确宣传导向，深化新型主流媒体建设，广播电视和网络视听舆论引导力进一步提高。</w:t>
            </w:r>
          </w:p>
        </w:tc>
        <w:tc>
          <w:tcPr>
            <w:tcW w:w="212"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color w:val="000000"/>
                <w:kern w:val="0"/>
                <w:sz w:val="20"/>
                <w:szCs w:val="20"/>
                <w:lang w:bidi="ar"/>
              </w:rPr>
              <w:t>4</w:t>
            </w:r>
          </w:p>
        </w:tc>
        <w:tc>
          <w:tcPr>
            <w:tcW w:w="245"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color w:val="000000"/>
                <w:kern w:val="0"/>
                <w:sz w:val="20"/>
                <w:szCs w:val="20"/>
                <w:lang w:bidi="ar"/>
              </w:rPr>
              <w:t>4</w:t>
            </w:r>
          </w:p>
        </w:tc>
        <w:tc>
          <w:tcPr>
            <w:tcW w:w="828"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b/>
                <w:bCs/>
                <w:kern w:val="0"/>
                <w:sz w:val="20"/>
                <w:szCs w:val="20"/>
              </w:rPr>
            </w:pPr>
          </w:p>
        </w:tc>
        <w:tc>
          <w:tcPr>
            <w:tcW w:w="1008"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227" w:type="pct"/>
            <w:vMerge w:val="continue"/>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tc>
        <w:tc>
          <w:tcPr>
            <w:tcW w:w="319" w:type="pct"/>
            <w:vMerge w:val="continue"/>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tc>
        <w:tc>
          <w:tcPr>
            <w:tcW w:w="371" w:type="pct"/>
            <w:vMerge w:val="continue"/>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tc>
        <w:tc>
          <w:tcPr>
            <w:tcW w:w="713" w:type="pct"/>
            <w:vAlign w:val="center"/>
          </w:tcPr>
          <w:p>
            <w:pPr>
              <w:keepNext w:val="0"/>
              <w:keepLines w:val="0"/>
              <w:pageBreakBefore w:val="0"/>
              <w:widowControl/>
              <w:kinsoku/>
              <w:wordWrap/>
              <w:overflowPunct/>
              <w:topLinePunct w:val="0"/>
              <w:autoSpaceDE/>
              <w:autoSpaceDN/>
              <w:bidi w:val="0"/>
              <w:adjustRightInd/>
              <w:snapToGrid/>
              <w:textAlignment w:val="auto"/>
              <w:rPr>
                <w:rFonts w:ascii="宋体" w:hAnsi="宋体" w:cs="宋体"/>
                <w:kern w:val="0"/>
                <w:sz w:val="20"/>
                <w:szCs w:val="20"/>
              </w:rPr>
            </w:pPr>
            <w:r>
              <w:rPr>
                <w:rFonts w:hint="eastAsia" w:ascii="宋体" w:hAnsi="宋体" w:cs="宋体"/>
                <w:color w:val="000000"/>
                <w:kern w:val="0"/>
                <w:sz w:val="20"/>
                <w:szCs w:val="20"/>
                <w:lang w:bidi="ar"/>
              </w:rPr>
              <w:t>优化精品创作引导扶持机制，打造一批彰显时代特色、中国精神、北京风格的扛鼎之作</w:t>
            </w:r>
          </w:p>
        </w:tc>
        <w:tc>
          <w:tcPr>
            <w:tcW w:w="1073" w:type="pct"/>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r>
              <w:rPr>
                <w:rFonts w:hint="eastAsia" w:ascii="宋体" w:hAnsi="宋体" w:cs="宋体"/>
                <w:kern w:val="0"/>
                <w:sz w:val="20"/>
                <w:szCs w:val="20"/>
              </w:rPr>
              <w:t>建立健全“北京大视听”机制，加大影视创作生产服务力度，完善精品创作矩阵，内容供给进一步丰富和优化。</w:t>
            </w:r>
          </w:p>
        </w:tc>
        <w:tc>
          <w:tcPr>
            <w:tcW w:w="212"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color w:val="000000"/>
                <w:kern w:val="0"/>
                <w:sz w:val="20"/>
                <w:szCs w:val="20"/>
                <w:lang w:bidi="ar"/>
              </w:rPr>
              <w:t>4</w:t>
            </w:r>
          </w:p>
        </w:tc>
        <w:tc>
          <w:tcPr>
            <w:tcW w:w="245"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color w:val="000000"/>
                <w:kern w:val="0"/>
                <w:sz w:val="20"/>
                <w:szCs w:val="20"/>
                <w:lang w:bidi="ar"/>
              </w:rPr>
              <w:t>3.8</w:t>
            </w:r>
          </w:p>
        </w:tc>
        <w:tc>
          <w:tcPr>
            <w:tcW w:w="828"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b/>
                <w:bCs/>
                <w:kern w:val="0"/>
                <w:sz w:val="20"/>
                <w:szCs w:val="20"/>
              </w:rPr>
            </w:pPr>
          </w:p>
        </w:tc>
        <w:tc>
          <w:tcPr>
            <w:tcW w:w="1008"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9" w:hRule="atLeast"/>
        </w:trPr>
        <w:tc>
          <w:tcPr>
            <w:tcW w:w="227" w:type="pct"/>
            <w:vMerge w:val="continue"/>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tc>
        <w:tc>
          <w:tcPr>
            <w:tcW w:w="319" w:type="pct"/>
            <w:vMerge w:val="continue"/>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tc>
        <w:tc>
          <w:tcPr>
            <w:tcW w:w="371" w:type="pct"/>
            <w:vMerge w:val="continue"/>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tc>
        <w:tc>
          <w:tcPr>
            <w:tcW w:w="713" w:type="pct"/>
            <w:vAlign w:val="center"/>
          </w:tcPr>
          <w:p>
            <w:pPr>
              <w:keepNext w:val="0"/>
              <w:keepLines w:val="0"/>
              <w:pageBreakBefore w:val="0"/>
              <w:widowControl/>
              <w:kinsoku/>
              <w:wordWrap/>
              <w:overflowPunct/>
              <w:topLinePunct w:val="0"/>
              <w:autoSpaceDE/>
              <w:autoSpaceDN/>
              <w:bidi w:val="0"/>
              <w:adjustRightInd/>
              <w:snapToGrid/>
              <w:textAlignment w:val="auto"/>
              <w:rPr>
                <w:rFonts w:ascii="宋体" w:hAnsi="宋体" w:cs="宋体"/>
                <w:kern w:val="0"/>
                <w:sz w:val="20"/>
                <w:szCs w:val="20"/>
              </w:rPr>
            </w:pPr>
            <w:r>
              <w:rPr>
                <w:rFonts w:hint="eastAsia" w:ascii="宋体" w:hAnsi="宋体" w:cs="宋体"/>
                <w:color w:val="000000"/>
                <w:kern w:val="0"/>
                <w:sz w:val="20"/>
                <w:szCs w:val="20"/>
                <w:lang w:bidi="ar"/>
              </w:rPr>
              <w:t>统筹使用好智慧广电、媒体融合、8K等专项扶持资金，加快优秀项目技术应用和成果转化</w:t>
            </w:r>
          </w:p>
        </w:tc>
        <w:tc>
          <w:tcPr>
            <w:tcW w:w="1073" w:type="pct"/>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r>
              <w:rPr>
                <w:rFonts w:hint="eastAsia" w:ascii="宋体" w:hAnsi="宋体" w:cs="宋体"/>
                <w:kern w:val="0"/>
                <w:sz w:val="20"/>
                <w:szCs w:val="20"/>
                <w:lang w:bidi="ar"/>
              </w:rPr>
              <w:t>持续做好智慧广电、媒体融合、8K等专项扶持工作，有力推动</w:t>
            </w:r>
            <w:r>
              <w:rPr>
                <w:rFonts w:hint="eastAsia" w:ascii="宋体" w:hAnsi="宋体" w:cs="宋体"/>
                <w:color w:val="000000"/>
                <w:kern w:val="0"/>
                <w:sz w:val="20"/>
                <w:szCs w:val="20"/>
                <w:lang w:bidi="ar"/>
              </w:rPr>
              <w:t>优秀项目技术应用和成果转化，</w:t>
            </w:r>
            <w:r>
              <w:rPr>
                <w:rFonts w:hint="eastAsia" w:ascii="宋体" w:hAnsi="宋体" w:cs="宋体"/>
                <w:kern w:val="0"/>
                <w:sz w:val="20"/>
                <w:szCs w:val="20"/>
              </w:rPr>
              <w:t>事业产业提升新能级。</w:t>
            </w:r>
          </w:p>
        </w:tc>
        <w:tc>
          <w:tcPr>
            <w:tcW w:w="212"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color w:val="000000"/>
                <w:kern w:val="0"/>
                <w:sz w:val="20"/>
                <w:szCs w:val="20"/>
                <w:lang w:bidi="ar"/>
              </w:rPr>
              <w:t>4</w:t>
            </w:r>
          </w:p>
        </w:tc>
        <w:tc>
          <w:tcPr>
            <w:tcW w:w="245"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color w:val="000000"/>
                <w:kern w:val="0"/>
                <w:sz w:val="20"/>
                <w:szCs w:val="20"/>
                <w:lang w:bidi="ar"/>
              </w:rPr>
              <w:t>3.8</w:t>
            </w:r>
          </w:p>
        </w:tc>
        <w:tc>
          <w:tcPr>
            <w:tcW w:w="828"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b/>
                <w:bCs/>
                <w:kern w:val="0"/>
                <w:sz w:val="20"/>
                <w:szCs w:val="20"/>
              </w:rPr>
            </w:pPr>
          </w:p>
        </w:tc>
        <w:tc>
          <w:tcPr>
            <w:tcW w:w="1008"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trPr>
        <w:tc>
          <w:tcPr>
            <w:tcW w:w="227" w:type="pct"/>
            <w:vMerge w:val="continue"/>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tc>
        <w:tc>
          <w:tcPr>
            <w:tcW w:w="319" w:type="pct"/>
            <w:vMerge w:val="continue"/>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tc>
        <w:tc>
          <w:tcPr>
            <w:tcW w:w="371" w:type="pct"/>
            <w:vMerge w:val="continue"/>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tc>
        <w:tc>
          <w:tcPr>
            <w:tcW w:w="713" w:type="pct"/>
            <w:vAlign w:val="center"/>
          </w:tcPr>
          <w:p>
            <w:pPr>
              <w:keepNext w:val="0"/>
              <w:keepLines w:val="0"/>
              <w:pageBreakBefore w:val="0"/>
              <w:widowControl/>
              <w:kinsoku/>
              <w:wordWrap/>
              <w:overflowPunct/>
              <w:topLinePunct w:val="0"/>
              <w:autoSpaceDE/>
              <w:autoSpaceDN/>
              <w:bidi w:val="0"/>
              <w:adjustRightInd/>
              <w:snapToGrid/>
              <w:textAlignment w:val="auto"/>
              <w:rPr>
                <w:rFonts w:ascii="宋体" w:hAnsi="宋体" w:cs="宋体"/>
                <w:kern w:val="0"/>
                <w:sz w:val="20"/>
                <w:szCs w:val="20"/>
              </w:rPr>
            </w:pPr>
            <w:r>
              <w:rPr>
                <w:rFonts w:hint="eastAsia" w:ascii="宋体" w:hAnsi="宋体" w:cs="宋体"/>
                <w:color w:val="000000"/>
                <w:kern w:val="0"/>
                <w:sz w:val="20"/>
                <w:szCs w:val="20"/>
                <w:lang w:bidi="ar"/>
              </w:rPr>
              <w:t>品牌活动高水平举办，打造产业高质量发展的风向标</w:t>
            </w:r>
          </w:p>
        </w:tc>
        <w:tc>
          <w:tcPr>
            <w:tcW w:w="1073" w:type="pct"/>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微软雅黑" w:cs="宋体"/>
                <w:kern w:val="0"/>
                <w:sz w:val="20"/>
                <w:szCs w:val="20"/>
              </w:rPr>
            </w:pPr>
            <w:r>
              <w:rPr>
                <w:rFonts w:ascii="宋体" w:hAnsi="宋体" w:cs="宋体"/>
                <w:kern w:val="0"/>
                <w:sz w:val="20"/>
                <w:szCs w:val="20"/>
              </w:rPr>
              <w:t>品牌活动全面升级，有力撬动精品项目挖掘推介、文艺作品创作转化及成果落地，品牌活动影响力进一步扩大。</w:t>
            </w:r>
          </w:p>
        </w:tc>
        <w:tc>
          <w:tcPr>
            <w:tcW w:w="212"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color w:val="000000"/>
                <w:kern w:val="0"/>
                <w:sz w:val="20"/>
                <w:szCs w:val="20"/>
                <w:lang w:bidi="ar"/>
              </w:rPr>
              <w:t>4</w:t>
            </w:r>
          </w:p>
        </w:tc>
        <w:tc>
          <w:tcPr>
            <w:tcW w:w="245"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color w:val="000000"/>
                <w:kern w:val="0"/>
                <w:sz w:val="20"/>
                <w:szCs w:val="20"/>
                <w:lang w:bidi="ar"/>
              </w:rPr>
              <w:t>3.7</w:t>
            </w:r>
          </w:p>
        </w:tc>
        <w:tc>
          <w:tcPr>
            <w:tcW w:w="828"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b/>
                <w:bCs/>
                <w:kern w:val="0"/>
                <w:sz w:val="20"/>
                <w:szCs w:val="20"/>
              </w:rPr>
            </w:pPr>
          </w:p>
        </w:tc>
        <w:tc>
          <w:tcPr>
            <w:tcW w:w="1008"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27"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c>
          <w:tcPr>
            <w:tcW w:w="319"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c>
          <w:tcPr>
            <w:tcW w:w="371"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时效指标</w:t>
            </w:r>
          </w:p>
        </w:tc>
        <w:tc>
          <w:tcPr>
            <w:tcW w:w="713" w:type="pct"/>
            <w:vAlign w:val="center"/>
          </w:tcPr>
          <w:p>
            <w:pPr>
              <w:keepNext w:val="0"/>
              <w:keepLines w:val="0"/>
              <w:pageBreakBefore w:val="0"/>
              <w:widowControl/>
              <w:kinsoku/>
              <w:wordWrap/>
              <w:overflowPunct/>
              <w:topLinePunct w:val="0"/>
              <w:autoSpaceDE/>
              <w:autoSpaceDN/>
              <w:bidi w:val="0"/>
              <w:adjustRightInd/>
              <w:snapToGrid/>
              <w:textAlignment w:val="auto"/>
              <w:rPr>
                <w:rFonts w:ascii="宋体" w:hAnsi="宋体" w:cs="宋体"/>
                <w:kern w:val="0"/>
                <w:sz w:val="20"/>
                <w:szCs w:val="20"/>
              </w:rPr>
            </w:pPr>
            <w:r>
              <w:rPr>
                <w:rFonts w:hint="eastAsia" w:ascii="宋体" w:hAnsi="宋体" w:cs="宋体"/>
                <w:kern w:val="0"/>
                <w:sz w:val="20"/>
                <w:szCs w:val="20"/>
              </w:rPr>
              <w:t>1</w:t>
            </w:r>
            <w:r>
              <w:rPr>
                <w:rFonts w:ascii="宋体" w:hAnsi="宋体" w:cs="宋体"/>
                <w:kern w:val="0"/>
                <w:sz w:val="20"/>
                <w:szCs w:val="20"/>
              </w:rPr>
              <w:t>2</w:t>
            </w:r>
            <w:r>
              <w:rPr>
                <w:rFonts w:hint="eastAsia" w:ascii="宋体" w:hAnsi="宋体" w:cs="宋体"/>
                <w:kern w:val="0"/>
                <w:sz w:val="20"/>
                <w:szCs w:val="20"/>
              </w:rPr>
              <w:t>月内完成全年工作任务</w:t>
            </w:r>
          </w:p>
        </w:tc>
        <w:tc>
          <w:tcPr>
            <w:tcW w:w="1073" w:type="pct"/>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r>
              <w:rPr>
                <w:rFonts w:hint="eastAsia" w:ascii="宋体" w:hAnsi="宋体" w:cs="宋体"/>
                <w:kern w:val="0"/>
                <w:sz w:val="20"/>
                <w:szCs w:val="20"/>
              </w:rPr>
              <w:t>1</w:t>
            </w:r>
            <w:r>
              <w:rPr>
                <w:rFonts w:ascii="宋体" w:hAnsi="宋体" w:cs="宋体"/>
                <w:kern w:val="0"/>
                <w:sz w:val="20"/>
                <w:szCs w:val="20"/>
              </w:rPr>
              <w:t>2</w:t>
            </w:r>
            <w:r>
              <w:rPr>
                <w:rFonts w:hint="eastAsia" w:ascii="宋体" w:hAnsi="宋体" w:cs="宋体"/>
                <w:kern w:val="0"/>
                <w:sz w:val="20"/>
                <w:szCs w:val="20"/>
              </w:rPr>
              <w:t>月内完成全年工作任务。</w:t>
            </w:r>
          </w:p>
        </w:tc>
        <w:tc>
          <w:tcPr>
            <w:tcW w:w="212"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color w:val="000000"/>
                <w:kern w:val="0"/>
                <w:sz w:val="20"/>
                <w:szCs w:val="20"/>
                <w:lang w:bidi="ar"/>
              </w:rPr>
              <w:t>4</w:t>
            </w:r>
          </w:p>
        </w:tc>
        <w:tc>
          <w:tcPr>
            <w:tcW w:w="245" w:type="pct"/>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color w:val="000000"/>
                <w:kern w:val="0"/>
                <w:sz w:val="20"/>
                <w:szCs w:val="20"/>
                <w:lang w:bidi="ar"/>
              </w:rPr>
              <w:t>4</w:t>
            </w:r>
          </w:p>
        </w:tc>
        <w:tc>
          <w:tcPr>
            <w:tcW w:w="828"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c>
          <w:tcPr>
            <w:tcW w:w="1008"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227"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c>
          <w:tcPr>
            <w:tcW w:w="319"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c>
          <w:tcPr>
            <w:tcW w:w="371"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成本指标</w:t>
            </w:r>
          </w:p>
        </w:tc>
        <w:tc>
          <w:tcPr>
            <w:tcW w:w="713" w:type="pct"/>
            <w:vAlign w:val="center"/>
          </w:tcPr>
          <w:p>
            <w:pPr>
              <w:keepNext w:val="0"/>
              <w:keepLines w:val="0"/>
              <w:pageBreakBefore w:val="0"/>
              <w:widowControl/>
              <w:kinsoku/>
              <w:wordWrap/>
              <w:overflowPunct/>
              <w:topLinePunct w:val="0"/>
              <w:autoSpaceDE/>
              <w:autoSpaceDN/>
              <w:bidi w:val="0"/>
              <w:adjustRightInd/>
              <w:snapToGrid/>
              <w:textAlignment w:val="auto"/>
              <w:rPr>
                <w:rFonts w:ascii="宋体" w:hAnsi="宋体" w:cs="宋体"/>
                <w:kern w:val="0"/>
                <w:sz w:val="20"/>
                <w:szCs w:val="20"/>
              </w:rPr>
            </w:pPr>
            <w:r>
              <w:rPr>
                <w:rFonts w:hint="eastAsia" w:ascii="宋体" w:hAnsi="宋体" w:cs="宋体"/>
                <w:kern w:val="0"/>
                <w:sz w:val="20"/>
                <w:szCs w:val="20"/>
              </w:rPr>
              <w:t>在预算规模下严格控制支出成本，充分发挥财政资金效能</w:t>
            </w:r>
          </w:p>
        </w:tc>
        <w:tc>
          <w:tcPr>
            <w:tcW w:w="1073" w:type="pct"/>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r>
              <w:rPr>
                <w:rFonts w:hint="eastAsia" w:ascii="宋体" w:hAnsi="宋体" w:cs="宋体"/>
                <w:kern w:val="0"/>
                <w:sz w:val="20"/>
                <w:szCs w:val="20"/>
              </w:rPr>
              <w:t>严格在预算范围内支出，不存在无预算和超预算支出情况，实现了财政资金的提质增效。</w:t>
            </w:r>
          </w:p>
        </w:tc>
        <w:tc>
          <w:tcPr>
            <w:tcW w:w="212"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color w:val="000000"/>
                <w:kern w:val="0"/>
                <w:sz w:val="20"/>
                <w:szCs w:val="20"/>
                <w:lang w:bidi="ar"/>
              </w:rPr>
              <w:t>4</w:t>
            </w:r>
          </w:p>
        </w:tc>
        <w:tc>
          <w:tcPr>
            <w:tcW w:w="245" w:type="pct"/>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color w:val="000000"/>
                <w:kern w:val="0"/>
                <w:sz w:val="20"/>
                <w:szCs w:val="20"/>
                <w:lang w:bidi="ar"/>
              </w:rPr>
              <w:t>4</w:t>
            </w:r>
          </w:p>
        </w:tc>
        <w:tc>
          <w:tcPr>
            <w:tcW w:w="828"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c>
          <w:tcPr>
            <w:tcW w:w="1008"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27"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c>
          <w:tcPr>
            <w:tcW w:w="319" w:type="pct"/>
            <w:vMerge w:val="restart"/>
            <w:vAlign w:val="center"/>
          </w:tcPr>
          <w:p>
            <w:pPr>
              <w:keepNext w:val="0"/>
              <w:keepLines w:val="0"/>
              <w:pageBreakBefore w:val="0"/>
              <w:widowControl/>
              <w:kinsoku/>
              <w:wordWrap/>
              <w:overflowPunct/>
              <w:topLinePunct w:val="0"/>
              <w:autoSpaceDE/>
              <w:autoSpaceDN/>
              <w:bidi w:val="0"/>
              <w:adjustRightInd/>
              <w:snapToGrid/>
              <w:textAlignment w:val="auto"/>
              <w:rPr>
                <w:rFonts w:ascii="宋体" w:hAnsi="宋体" w:cs="宋体"/>
                <w:kern w:val="0"/>
                <w:sz w:val="20"/>
                <w:szCs w:val="20"/>
              </w:rPr>
            </w:pPr>
            <w:r>
              <w:rPr>
                <w:rFonts w:hint="eastAsia" w:ascii="宋体" w:hAnsi="宋体" w:cs="宋体"/>
                <w:kern w:val="0"/>
                <w:sz w:val="20"/>
                <w:szCs w:val="20"/>
              </w:rPr>
              <w:t>效果（30）</w:t>
            </w:r>
          </w:p>
        </w:tc>
        <w:tc>
          <w:tcPr>
            <w:tcW w:w="371" w:type="pct"/>
            <w:vMerge w:val="restar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ascii="宋体" w:hAnsi="宋体" w:cs="宋体"/>
                <w:kern w:val="0"/>
                <w:sz w:val="20"/>
                <w:szCs w:val="20"/>
              </w:rPr>
              <w:t>社会效益</w:t>
            </w:r>
          </w:p>
        </w:tc>
        <w:tc>
          <w:tcPr>
            <w:tcW w:w="713" w:type="pct"/>
            <w:vAlign w:val="center"/>
          </w:tcPr>
          <w:p>
            <w:pPr>
              <w:keepNext w:val="0"/>
              <w:keepLines w:val="0"/>
              <w:pageBreakBefore w:val="0"/>
              <w:widowControl/>
              <w:kinsoku/>
              <w:wordWrap/>
              <w:overflowPunct/>
              <w:topLinePunct w:val="0"/>
              <w:autoSpaceDE/>
              <w:autoSpaceDN/>
              <w:bidi w:val="0"/>
              <w:adjustRightInd/>
              <w:snapToGrid/>
              <w:textAlignment w:val="auto"/>
              <w:rPr>
                <w:rFonts w:ascii="宋体" w:hAnsi="宋体" w:cs="宋体"/>
                <w:kern w:val="0"/>
                <w:sz w:val="20"/>
                <w:szCs w:val="20"/>
              </w:rPr>
            </w:pPr>
            <w:r>
              <w:rPr>
                <w:rFonts w:hint="eastAsia" w:ascii="宋体" w:hAnsi="宋体" w:cs="宋体"/>
                <w:color w:val="000000"/>
                <w:kern w:val="0"/>
                <w:sz w:val="20"/>
                <w:szCs w:val="20"/>
                <w:lang w:bidi="ar"/>
              </w:rPr>
              <w:t>推动文艺精品占领主阵地，满足人民群众精神文化需求</w:t>
            </w:r>
          </w:p>
        </w:tc>
        <w:tc>
          <w:tcPr>
            <w:tcW w:w="1073" w:type="pct"/>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r>
              <w:rPr>
                <w:rFonts w:hint="eastAsia" w:ascii="宋体" w:hAnsi="宋体" w:cs="宋体"/>
                <w:kern w:val="0"/>
                <w:sz w:val="20"/>
                <w:szCs w:val="20"/>
              </w:rPr>
              <w:t>繁荣北京市广播电视网络视听精品创作，丰富公共文化服务供给，不断增强人民群众的幸福感、获得感。</w:t>
            </w:r>
          </w:p>
        </w:tc>
        <w:tc>
          <w:tcPr>
            <w:tcW w:w="212" w:type="pct"/>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color w:val="000000"/>
                <w:kern w:val="0"/>
                <w:sz w:val="20"/>
                <w:szCs w:val="20"/>
                <w:lang w:bidi="ar"/>
              </w:rPr>
              <w:t>5</w:t>
            </w:r>
          </w:p>
        </w:tc>
        <w:tc>
          <w:tcPr>
            <w:tcW w:w="245" w:type="pct"/>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color w:val="000000"/>
                <w:kern w:val="0"/>
                <w:sz w:val="20"/>
                <w:szCs w:val="20"/>
                <w:lang w:bidi="ar"/>
              </w:rPr>
              <w:t>4.8</w:t>
            </w:r>
          </w:p>
        </w:tc>
        <w:tc>
          <w:tcPr>
            <w:tcW w:w="828" w:type="pct"/>
            <w:vMerge w:val="restart"/>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r>
              <w:rPr>
                <w:rFonts w:hint="eastAsia" w:ascii="宋体" w:hAnsi="宋体" w:cs="宋体"/>
                <w:b/>
                <w:bCs/>
                <w:kern w:val="0"/>
                <w:sz w:val="20"/>
                <w:szCs w:val="20"/>
              </w:rPr>
              <w:t>经济效益</w:t>
            </w:r>
            <w:r>
              <w:rPr>
                <w:rFonts w:hint="eastAsia" w:ascii="宋体" w:hAnsi="宋体" w:cs="宋体"/>
                <w:kern w:val="0"/>
                <w:sz w:val="20"/>
                <w:szCs w:val="20"/>
              </w:rPr>
              <w:t>：部门（单位）履行职责对经济发展所带来的直接或间接影响。</w:t>
            </w:r>
            <w:r>
              <w:rPr>
                <w:rFonts w:hint="eastAsia" w:ascii="宋体" w:hAnsi="宋体" w:cs="宋体"/>
                <w:b/>
                <w:bCs/>
                <w:kern w:val="0"/>
                <w:sz w:val="20"/>
                <w:szCs w:val="20"/>
              </w:rPr>
              <w:t>社会效益</w:t>
            </w:r>
            <w:r>
              <w:rPr>
                <w:rFonts w:hint="eastAsia" w:ascii="宋体" w:hAnsi="宋体" w:cs="宋体"/>
                <w:kern w:val="0"/>
                <w:sz w:val="20"/>
                <w:szCs w:val="20"/>
              </w:rPr>
              <w:t>：部门（单位）履行职责对社会发展所带来的直接或间接影响。</w:t>
            </w:r>
            <w:r>
              <w:rPr>
                <w:rFonts w:hint="eastAsia" w:ascii="宋体" w:hAnsi="宋体" w:cs="宋体"/>
                <w:b/>
                <w:bCs/>
                <w:kern w:val="0"/>
                <w:sz w:val="20"/>
                <w:szCs w:val="20"/>
              </w:rPr>
              <w:t>环境效益</w:t>
            </w:r>
            <w:r>
              <w:rPr>
                <w:rFonts w:hint="eastAsia" w:ascii="宋体" w:hAnsi="宋体" w:cs="宋体"/>
                <w:kern w:val="0"/>
                <w:sz w:val="20"/>
                <w:szCs w:val="20"/>
              </w:rPr>
              <w:t>：部门（单位）履行职责对环境所带来的直接或间接影响。</w:t>
            </w:r>
            <w:r>
              <w:rPr>
                <w:rFonts w:hint="eastAsia" w:ascii="宋体" w:hAnsi="宋体" w:cs="宋体"/>
                <w:b/>
                <w:bCs/>
                <w:kern w:val="0"/>
                <w:sz w:val="20"/>
                <w:szCs w:val="20"/>
              </w:rPr>
              <w:t>可持续性影响：</w:t>
            </w:r>
            <w:r>
              <w:rPr>
                <w:rFonts w:hint="eastAsia" w:ascii="宋体" w:hAnsi="宋体" w:cs="宋体"/>
                <w:kern w:val="0"/>
                <w:sz w:val="20"/>
                <w:szCs w:val="20"/>
              </w:rPr>
              <w:t>部门绩效目标实现的长效机制建设情况，部门工作效率提升措施的创新。</w:t>
            </w:r>
            <w:r>
              <w:rPr>
                <w:rFonts w:hint="eastAsia" w:ascii="宋体" w:hAnsi="宋体" w:cs="宋体"/>
                <w:b/>
                <w:bCs/>
                <w:kern w:val="0"/>
                <w:sz w:val="20"/>
                <w:szCs w:val="20"/>
              </w:rPr>
              <w:t>服务对象满意度</w:t>
            </w:r>
            <w:r>
              <w:rPr>
                <w:rFonts w:hint="eastAsia" w:ascii="宋体" w:hAnsi="宋体" w:cs="宋体"/>
                <w:kern w:val="0"/>
                <w:sz w:val="20"/>
                <w:szCs w:val="20"/>
              </w:rPr>
              <w:t>：部门（单位）的服务对象对部门履职效果的满意程度。</w:t>
            </w:r>
          </w:p>
        </w:tc>
        <w:tc>
          <w:tcPr>
            <w:tcW w:w="1008" w:type="pct"/>
            <w:vMerge w:val="restart"/>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r>
              <w:rPr>
                <w:rFonts w:hint="eastAsia" w:ascii="宋体" w:hAnsi="宋体" w:cs="宋体"/>
                <w:kern w:val="0"/>
                <w:sz w:val="20"/>
                <w:szCs w:val="20"/>
              </w:rPr>
              <w:t>部门根据实际情况选择指标进行填写，并将其细化为相应的个性化指标。对于效益类指标可从受益对象瞄准度、受益广度和受益深度上进行设计分析。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227"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c>
          <w:tcPr>
            <w:tcW w:w="319" w:type="pct"/>
            <w:vMerge w:val="continue"/>
            <w:vAlign w:val="center"/>
          </w:tcPr>
          <w:p>
            <w:pPr>
              <w:keepNext w:val="0"/>
              <w:keepLines w:val="0"/>
              <w:pageBreakBefore w:val="0"/>
              <w:widowControl/>
              <w:kinsoku/>
              <w:wordWrap/>
              <w:overflowPunct/>
              <w:topLinePunct w:val="0"/>
              <w:autoSpaceDE/>
              <w:autoSpaceDN/>
              <w:bidi w:val="0"/>
              <w:adjustRightInd/>
              <w:snapToGrid/>
              <w:textAlignment w:val="auto"/>
              <w:rPr>
                <w:rFonts w:ascii="宋体" w:hAnsi="宋体" w:cs="宋体"/>
                <w:kern w:val="0"/>
                <w:sz w:val="20"/>
                <w:szCs w:val="20"/>
              </w:rPr>
            </w:pPr>
          </w:p>
        </w:tc>
        <w:tc>
          <w:tcPr>
            <w:tcW w:w="371" w:type="pct"/>
            <w:vMerge w:val="continue"/>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tc>
        <w:tc>
          <w:tcPr>
            <w:tcW w:w="713" w:type="pct"/>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kern w:val="0"/>
                <w:sz w:val="20"/>
                <w:szCs w:val="20"/>
                <w:lang w:eastAsia="zh-CN"/>
              </w:rPr>
            </w:pPr>
            <w:r>
              <w:rPr>
                <w:rFonts w:hint="eastAsia" w:ascii="宋体" w:hAnsi="宋体" w:cs="宋体"/>
                <w:color w:val="000000"/>
                <w:kern w:val="0"/>
                <w:sz w:val="20"/>
                <w:szCs w:val="20"/>
                <w:lang w:bidi="ar"/>
              </w:rPr>
              <w:t>对公共服务下沉到基层进行有益的实践探索，持续推动公共服务与人民群众心贴心、零距离</w:t>
            </w:r>
          </w:p>
        </w:tc>
        <w:tc>
          <w:tcPr>
            <w:tcW w:w="1073" w:type="pct"/>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r>
              <w:rPr>
                <w:rFonts w:hint="eastAsia" w:ascii="宋体" w:hAnsi="宋体" w:cs="宋体"/>
                <w:kern w:val="0"/>
                <w:sz w:val="20"/>
                <w:szCs w:val="20"/>
              </w:rPr>
              <w:t>夯实基本公共服务保障基础，深化新视听公共服务示范工程，全市广播电视公共服务进一步提质增效。</w:t>
            </w:r>
          </w:p>
        </w:tc>
        <w:tc>
          <w:tcPr>
            <w:tcW w:w="212" w:type="pct"/>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color w:val="000000"/>
                <w:kern w:val="0"/>
                <w:sz w:val="20"/>
                <w:szCs w:val="20"/>
                <w:lang w:bidi="ar"/>
              </w:rPr>
              <w:t>5</w:t>
            </w:r>
          </w:p>
        </w:tc>
        <w:tc>
          <w:tcPr>
            <w:tcW w:w="245" w:type="pct"/>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color w:val="000000"/>
                <w:kern w:val="0"/>
                <w:sz w:val="20"/>
                <w:szCs w:val="20"/>
                <w:lang w:bidi="ar"/>
              </w:rPr>
              <w:t>4.8</w:t>
            </w:r>
          </w:p>
        </w:tc>
        <w:tc>
          <w:tcPr>
            <w:tcW w:w="828"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b/>
                <w:bCs/>
                <w:kern w:val="0"/>
                <w:sz w:val="20"/>
                <w:szCs w:val="20"/>
              </w:rPr>
            </w:pPr>
          </w:p>
        </w:tc>
        <w:tc>
          <w:tcPr>
            <w:tcW w:w="1008"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trPr>
        <w:tc>
          <w:tcPr>
            <w:tcW w:w="227"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c>
          <w:tcPr>
            <w:tcW w:w="319" w:type="pct"/>
            <w:vMerge w:val="continue"/>
            <w:vAlign w:val="center"/>
          </w:tcPr>
          <w:p>
            <w:pPr>
              <w:keepNext w:val="0"/>
              <w:keepLines w:val="0"/>
              <w:pageBreakBefore w:val="0"/>
              <w:widowControl/>
              <w:kinsoku/>
              <w:wordWrap/>
              <w:overflowPunct/>
              <w:topLinePunct w:val="0"/>
              <w:autoSpaceDE/>
              <w:autoSpaceDN/>
              <w:bidi w:val="0"/>
              <w:adjustRightInd/>
              <w:snapToGrid/>
              <w:textAlignment w:val="auto"/>
              <w:rPr>
                <w:rFonts w:ascii="宋体" w:hAnsi="宋体" w:cs="宋体"/>
                <w:kern w:val="0"/>
                <w:sz w:val="20"/>
                <w:szCs w:val="20"/>
              </w:rPr>
            </w:pPr>
          </w:p>
        </w:tc>
        <w:tc>
          <w:tcPr>
            <w:tcW w:w="371" w:type="pct"/>
            <w:vMerge w:val="continue"/>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tc>
        <w:tc>
          <w:tcPr>
            <w:tcW w:w="713" w:type="pct"/>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kern w:val="0"/>
                <w:sz w:val="20"/>
                <w:szCs w:val="20"/>
                <w:lang w:eastAsia="zh-CN"/>
              </w:rPr>
            </w:pPr>
            <w:r>
              <w:rPr>
                <w:rFonts w:hint="eastAsia" w:ascii="宋体" w:hAnsi="宋体" w:cs="宋体"/>
                <w:color w:val="000000"/>
                <w:kern w:val="0"/>
                <w:sz w:val="20"/>
                <w:szCs w:val="20"/>
                <w:lang w:bidi="ar"/>
              </w:rPr>
              <w:t>严把导向关、内容关，提升内容监管效能，以正确政治方向和价值取向引领行业健康发展</w:t>
            </w:r>
          </w:p>
        </w:tc>
        <w:tc>
          <w:tcPr>
            <w:tcW w:w="1073" w:type="pct"/>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r>
              <w:rPr>
                <w:rFonts w:hint="eastAsia" w:ascii="宋体" w:hAnsi="宋体" w:cs="宋体"/>
                <w:kern w:val="0"/>
                <w:sz w:val="20"/>
                <w:szCs w:val="20"/>
              </w:rPr>
              <w:t>全面强化各类阵地监督管理，深化行业秩序治理，行业秩序持续向好。</w:t>
            </w:r>
          </w:p>
        </w:tc>
        <w:tc>
          <w:tcPr>
            <w:tcW w:w="212" w:type="pct"/>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color w:val="000000"/>
                <w:kern w:val="0"/>
                <w:sz w:val="20"/>
                <w:szCs w:val="20"/>
                <w:lang w:bidi="ar"/>
              </w:rPr>
              <w:t>4</w:t>
            </w:r>
          </w:p>
        </w:tc>
        <w:tc>
          <w:tcPr>
            <w:tcW w:w="245" w:type="pct"/>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color w:val="000000"/>
                <w:kern w:val="0"/>
                <w:sz w:val="20"/>
                <w:szCs w:val="20"/>
                <w:lang w:bidi="ar"/>
              </w:rPr>
              <w:t>4</w:t>
            </w:r>
          </w:p>
        </w:tc>
        <w:tc>
          <w:tcPr>
            <w:tcW w:w="828"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b/>
                <w:bCs/>
                <w:kern w:val="0"/>
                <w:sz w:val="20"/>
                <w:szCs w:val="20"/>
              </w:rPr>
            </w:pPr>
          </w:p>
        </w:tc>
        <w:tc>
          <w:tcPr>
            <w:tcW w:w="1008"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227"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c>
          <w:tcPr>
            <w:tcW w:w="319" w:type="pct"/>
            <w:vMerge w:val="continue"/>
            <w:vAlign w:val="center"/>
          </w:tcPr>
          <w:p>
            <w:pPr>
              <w:keepNext w:val="0"/>
              <w:keepLines w:val="0"/>
              <w:pageBreakBefore w:val="0"/>
              <w:widowControl/>
              <w:kinsoku/>
              <w:wordWrap/>
              <w:overflowPunct/>
              <w:topLinePunct w:val="0"/>
              <w:autoSpaceDE/>
              <w:autoSpaceDN/>
              <w:bidi w:val="0"/>
              <w:adjustRightInd/>
              <w:snapToGrid/>
              <w:textAlignment w:val="auto"/>
              <w:rPr>
                <w:rFonts w:ascii="宋体" w:hAnsi="宋体" w:cs="宋体"/>
                <w:kern w:val="0"/>
                <w:sz w:val="20"/>
                <w:szCs w:val="20"/>
              </w:rPr>
            </w:pPr>
          </w:p>
        </w:tc>
        <w:tc>
          <w:tcPr>
            <w:tcW w:w="371" w:type="pct"/>
            <w:vMerge w:val="continue"/>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tc>
        <w:tc>
          <w:tcPr>
            <w:tcW w:w="713" w:type="pct"/>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r>
              <w:rPr>
                <w:rFonts w:hint="eastAsia" w:ascii="宋体" w:hAnsi="宋体" w:cs="宋体"/>
                <w:color w:val="000000"/>
                <w:kern w:val="0"/>
                <w:sz w:val="20"/>
                <w:szCs w:val="20"/>
                <w:lang w:bidi="ar"/>
              </w:rPr>
              <w:t>圆满完成安全播出保障和广播电视监测任务，进一步夯实行业安全播出和网络安全基础</w:t>
            </w:r>
          </w:p>
        </w:tc>
        <w:tc>
          <w:tcPr>
            <w:tcW w:w="1073" w:type="pct"/>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r>
              <w:rPr>
                <w:rFonts w:hint="eastAsia" w:ascii="宋体" w:hAnsi="宋体" w:cs="宋体"/>
                <w:kern w:val="0"/>
                <w:sz w:val="20"/>
                <w:szCs w:val="20"/>
                <w:lang w:bidi="ar"/>
              </w:rPr>
              <w:t>高标准完成安全播出保障任务，全市安全播出指挥中心新址试运行稳定，“五全”监管体系初步成型，</w:t>
            </w:r>
            <w:r>
              <w:rPr>
                <w:rFonts w:hint="eastAsia" w:ascii="宋体" w:hAnsi="宋体" w:cs="宋体"/>
                <w:color w:val="000000"/>
                <w:kern w:val="0"/>
                <w:sz w:val="20"/>
                <w:szCs w:val="20"/>
                <w:lang w:bidi="ar"/>
              </w:rPr>
              <w:t>行业安全播出和网络安全基础进一步</w:t>
            </w:r>
            <w:r>
              <w:rPr>
                <w:rFonts w:ascii="宋体" w:hAnsi="宋体" w:cs="宋体"/>
                <w:color w:val="000000"/>
                <w:kern w:val="0"/>
                <w:sz w:val="20"/>
                <w:szCs w:val="20"/>
                <w:lang w:bidi="ar"/>
              </w:rPr>
              <w:t>夯实</w:t>
            </w:r>
            <w:r>
              <w:rPr>
                <w:rFonts w:hint="eastAsia" w:ascii="宋体" w:hAnsi="宋体" w:cs="宋体"/>
                <w:color w:val="000000"/>
                <w:kern w:val="0"/>
                <w:sz w:val="20"/>
                <w:szCs w:val="20"/>
                <w:lang w:bidi="ar"/>
              </w:rPr>
              <w:t>。</w:t>
            </w:r>
          </w:p>
        </w:tc>
        <w:tc>
          <w:tcPr>
            <w:tcW w:w="212" w:type="pct"/>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color w:val="000000"/>
                <w:kern w:val="0"/>
                <w:sz w:val="20"/>
                <w:szCs w:val="20"/>
                <w:lang w:bidi="ar"/>
              </w:rPr>
              <w:t>4</w:t>
            </w:r>
          </w:p>
        </w:tc>
        <w:tc>
          <w:tcPr>
            <w:tcW w:w="245" w:type="pct"/>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color w:val="000000"/>
                <w:kern w:val="0"/>
                <w:sz w:val="20"/>
                <w:szCs w:val="20"/>
                <w:lang w:bidi="ar"/>
              </w:rPr>
              <w:t>4</w:t>
            </w:r>
          </w:p>
        </w:tc>
        <w:tc>
          <w:tcPr>
            <w:tcW w:w="828"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b/>
                <w:bCs/>
                <w:kern w:val="0"/>
                <w:sz w:val="20"/>
                <w:szCs w:val="20"/>
              </w:rPr>
            </w:pPr>
          </w:p>
        </w:tc>
        <w:tc>
          <w:tcPr>
            <w:tcW w:w="1008"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227"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c>
          <w:tcPr>
            <w:tcW w:w="319" w:type="pct"/>
            <w:vMerge w:val="continue"/>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tc>
        <w:tc>
          <w:tcPr>
            <w:tcW w:w="371" w:type="pct"/>
            <w:vMerge w:val="continue"/>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tc>
        <w:tc>
          <w:tcPr>
            <w:tcW w:w="713" w:type="pct"/>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r>
              <w:rPr>
                <w:rFonts w:hint="eastAsia" w:ascii="宋体" w:hAnsi="宋体" w:cs="宋体"/>
                <w:color w:val="000000"/>
                <w:kern w:val="0"/>
                <w:sz w:val="20"/>
                <w:szCs w:val="20"/>
                <w:lang w:bidi="ar"/>
              </w:rPr>
              <w:t>讲好中国故事、北京故事，肩负起广播电视网络视听国际传播重要责任</w:t>
            </w:r>
          </w:p>
        </w:tc>
        <w:tc>
          <w:tcPr>
            <w:tcW w:w="1073" w:type="pct"/>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r>
              <w:rPr>
                <w:rFonts w:hint="eastAsia" w:ascii="宋体" w:hAnsi="宋体" w:cs="宋体"/>
                <w:kern w:val="0"/>
                <w:sz w:val="20"/>
                <w:szCs w:val="20"/>
              </w:rPr>
              <w:t>自觉肩负起广播电视网络视听国际传播的重要责任，持续扩大</w:t>
            </w:r>
            <w:r>
              <w:rPr>
                <w:rFonts w:ascii="宋体" w:hAnsi="宋体" w:cs="宋体"/>
                <w:kern w:val="0"/>
                <w:sz w:val="20"/>
                <w:szCs w:val="20"/>
              </w:rPr>
              <w:t>对外交流，</w:t>
            </w:r>
            <w:r>
              <w:rPr>
                <w:rFonts w:hint="eastAsia" w:ascii="宋体" w:hAnsi="宋体" w:cs="宋体"/>
                <w:kern w:val="0"/>
                <w:sz w:val="20"/>
                <w:szCs w:val="20"/>
              </w:rPr>
              <w:t>国际传播能力和影响力不断提升。</w:t>
            </w:r>
          </w:p>
        </w:tc>
        <w:tc>
          <w:tcPr>
            <w:tcW w:w="212" w:type="pct"/>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color w:val="000000"/>
                <w:kern w:val="0"/>
                <w:sz w:val="20"/>
                <w:szCs w:val="20"/>
                <w:lang w:bidi="ar"/>
              </w:rPr>
              <w:t>4</w:t>
            </w:r>
          </w:p>
        </w:tc>
        <w:tc>
          <w:tcPr>
            <w:tcW w:w="245" w:type="pct"/>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color w:val="000000"/>
                <w:kern w:val="0"/>
                <w:sz w:val="20"/>
                <w:szCs w:val="20"/>
                <w:lang w:bidi="ar"/>
              </w:rPr>
              <w:t>3.8</w:t>
            </w:r>
          </w:p>
        </w:tc>
        <w:tc>
          <w:tcPr>
            <w:tcW w:w="828"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c>
          <w:tcPr>
            <w:tcW w:w="1008"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227"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c>
          <w:tcPr>
            <w:tcW w:w="319"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c>
          <w:tcPr>
            <w:tcW w:w="371" w:type="pct"/>
            <w:vMerge w:val="restar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可持续影响指标</w:t>
            </w:r>
          </w:p>
        </w:tc>
        <w:tc>
          <w:tcPr>
            <w:tcW w:w="713" w:type="pct"/>
            <w:vAlign w:val="center"/>
          </w:tcPr>
          <w:p>
            <w:pPr>
              <w:keepNext w:val="0"/>
              <w:keepLines w:val="0"/>
              <w:pageBreakBefore w:val="0"/>
              <w:widowControl/>
              <w:kinsoku/>
              <w:wordWrap/>
              <w:overflowPunct/>
              <w:topLinePunct w:val="0"/>
              <w:autoSpaceDE/>
              <w:autoSpaceDN/>
              <w:bidi w:val="0"/>
              <w:adjustRightInd/>
              <w:snapToGrid/>
              <w:textAlignment w:val="auto"/>
              <w:rPr>
                <w:rFonts w:ascii="宋体" w:hAnsi="宋体" w:cs="宋体"/>
                <w:kern w:val="0"/>
                <w:sz w:val="20"/>
                <w:szCs w:val="20"/>
              </w:rPr>
            </w:pPr>
            <w:r>
              <w:rPr>
                <w:rFonts w:hint="eastAsia" w:ascii="宋体" w:hAnsi="宋体" w:cs="宋体"/>
                <w:kern w:val="0"/>
                <w:sz w:val="20"/>
                <w:szCs w:val="20"/>
              </w:rPr>
              <w:t>打造品牌宣传活动矩阵，不断扩大北京新视听活动品牌影响力</w:t>
            </w:r>
          </w:p>
        </w:tc>
        <w:tc>
          <w:tcPr>
            <w:tcW w:w="1073" w:type="pct"/>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微软雅黑" w:cs="宋体"/>
                <w:kern w:val="0"/>
                <w:sz w:val="20"/>
                <w:szCs w:val="20"/>
              </w:rPr>
            </w:pPr>
            <w:r>
              <w:rPr>
                <w:rFonts w:hint="eastAsia" w:ascii="宋体" w:hAnsi="宋体" w:cs="宋体"/>
                <w:kern w:val="0"/>
                <w:sz w:val="20"/>
                <w:szCs w:val="20"/>
              </w:rPr>
              <w:t>统筹办好各类品牌活动，推动新视听矩阵创新升级，北京视听活动品牌影响力持续扩大。</w:t>
            </w:r>
          </w:p>
        </w:tc>
        <w:tc>
          <w:tcPr>
            <w:tcW w:w="212"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color w:val="000000"/>
                <w:kern w:val="0"/>
                <w:sz w:val="20"/>
                <w:szCs w:val="20"/>
                <w:lang w:bidi="ar"/>
              </w:rPr>
              <w:t>4</w:t>
            </w:r>
          </w:p>
        </w:tc>
        <w:tc>
          <w:tcPr>
            <w:tcW w:w="245" w:type="pct"/>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color w:val="000000"/>
                <w:kern w:val="0"/>
                <w:sz w:val="20"/>
                <w:szCs w:val="20"/>
                <w:lang w:bidi="ar"/>
              </w:rPr>
              <w:t>3.7</w:t>
            </w:r>
          </w:p>
        </w:tc>
        <w:tc>
          <w:tcPr>
            <w:tcW w:w="828"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c>
          <w:tcPr>
            <w:tcW w:w="1008"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227"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c>
          <w:tcPr>
            <w:tcW w:w="319"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c>
          <w:tcPr>
            <w:tcW w:w="371" w:type="pct"/>
            <w:vMerge w:val="continue"/>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p>
        </w:tc>
        <w:tc>
          <w:tcPr>
            <w:tcW w:w="713" w:type="pct"/>
            <w:vAlign w:val="center"/>
          </w:tcPr>
          <w:p>
            <w:pPr>
              <w:keepNext w:val="0"/>
              <w:keepLines w:val="0"/>
              <w:pageBreakBefore w:val="0"/>
              <w:widowControl/>
              <w:kinsoku/>
              <w:wordWrap/>
              <w:overflowPunct/>
              <w:topLinePunct w:val="0"/>
              <w:autoSpaceDE/>
              <w:autoSpaceDN/>
              <w:bidi w:val="0"/>
              <w:adjustRightInd/>
              <w:snapToGrid/>
              <w:textAlignment w:val="auto"/>
              <w:rPr>
                <w:rFonts w:ascii="宋体" w:hAnsi="宋体" w:cs="宋体"/>
                <w:kern w:val="0"/>
                <w:sz w:val="20"/>
                <w:szCs w:val="20"/>
              </w:rPr>
            </w:pPr>
            <w:r>
              <w:rPr>
                <w:rFonts w:hint="eastAsia" w:ascii="宋体" w:hAnsi="宋体" w:cs="宋体"/>
                <w:kern w:val="0"/>
                <w:sz w:val="20"/>
                <w:szCs w:val="20"/>
              </w:rPr>
              <w:t>引导行业抢占先进技术的制高点，示范、带动视听产业化、产业视听化模式不断升级</w:t>
            </w:r>
          </w:p>
        </w:tc>
        <w:tc>
          <w:tcPr>
            <w:tcW w:w="1073" w:type="pct"/>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r>
              <w:rPr>
                <w:rFonts w:hint="eastAsia" w:ascii="宋体" w:hAnsi="宋体" w:cs="宋体"/>
                <w:kern w:val="0"/>
                <w:sz w:val="20"/>
                <w:szCs w:val="20"/>
              </w:rPr>
              <w:t>坚持创新引领，</w:t>
            </w:r>
            <w:r>
              <w:rPr>
                <w:rFonts w:hint="eastAsia" w:ascii="宋体" w:hAnsi="宋体" w:cs="宋体"/>
                <w:kern w:val="0"/>
                <w:sz w:val="20"/>
                <w:szCs w:val="20"/>
                <w:lang w:bidi="ar"/>
              </w:rPr>
              <w:t>推动超高清视听全产业链优化升级，促进广电新质生产力加快形成</w:t>
            </w:r>
            <w:r>
              <w:rPr>
                <w:rFonts w:hint="eastAsia" w:ascii="宋体" w:hAnsi="宋体" w:cs="宋体"/>
                <w:kern w:val="0"/>
                <w:sz w:val="20"/>
                <w:szCs w:val="20"/>
              </w:rPr>
              <w:t>。</w:t>
            </w:r>
          </w:p>
        </w:tc>
        <w:tc>
          <w:tcPr>
            <w:tcW w:w="212"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color w:val="000000"/>
                <w:kern w:val="0"/>
                <w:sz w:val="20"/>
                <w:szCs w:val="20"/>
                <w:lang w:bidi="ar"/>
              </w:rPr>
              <w:t>4</w:t>
            </w:r>
          </w:p>
        </w:tc>
        <w:tc>
          <w:tcPr>
            <w:tcW w:w="245" w:type="pct"/>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color w:val="000000"/>
                <w:kern w:val="0"/>
                <w:sz w:val="20"/>
                <w:szCs w:val="20"/>
                <w:lang w:bidi="ar"/>
              </w:rPr>
              <w:t>3.8</w:t>
            </w:r>
          </w:p>
        </w:tc>
        <w:tc>
          <w:tcPr>
            <w:tcW w:w="828"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c>
          <w:tcPr>
            <w:tcW w:w="1008"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00" w:type="pct"/>
            <w:gridSpan w:val="9"/>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r>
              <w:rPr>
                <w:rFonts w:hint="eastAsia" w:ascii="宋体" w:hAnsi="宋体" w:cs="宋体"/>
                <w:kern w:val="0"/>
                <w:sz w:val="20"/>
                <w:szCs w:val="20"/>
              </w:rPr>
              <w:t>三</w:t>
            </w:r>
            <w:r>
              <w:rPr>
                <w:rFonts w:ascii="宋体" w:hAnsi="宋体" w:cs="宋体"/>
                <w:kern w:val="0"/>
                <w:sz w:val="20"/>
                <w:szCs w:val="20"/>
              </w:rPr>
              <w:t>、</w:t>
            </w:r>
            <w:r>
              <w:rPr>
                <w:rFonts w:hint="eastAsia" w:ascii="宋体" w:hAnsi="宋体" w:cs="宋体"/>
                <w:kern w:val="0"/>
                <w:sz w:val="20"/>
                <w:szCs w:val="20"/>
              </w:rPr>
              <w:t>预算管理情况（20分）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227"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一</w:t>
            </w:r>
            <w:r>
              <w:rPr>
                <w:rFonts w:ascii="宋体" w:hAnsi="宋体" w:cs="宋体"/>
                <w:kern w:val="0"/>
                <w:sz w:val="20"/>
                <w:szCs w:val="20"/>
              </w:rPr>
              <w:t>级指标</w:t>
            </w:r>
          </w:p>
        </w:tc>
        <w:tc>
          <w:tcPr>
            <w:tcW w:w="319"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二</w:t>
            </w:r>
            <w:r>
              <w:rPr>
                <w:rFonts w:ascii="宋体" w:hAnsi="宋体" w:cs="宋体"/>
                <w:kern w:val="0"/>
                <w:sz w:val="20"/>
                <w:szCs w:val="20"/>
              </w:rPr>
              <w:t>级指标</w:t>
            </w:r>
          </w:p>
        </w:tc>
        <w:tc>
          <w:tcPr>
            <w:tcW w:w="371"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三</w:t>
            </w:r>
            <w:r>
              <w:rPr>
                <w:rFonts w:ascii="宋体" w:hAnsi="宋体" w:cs="宋体"/>
                <w:kern w:val="0"/>
                <w:sz w:val="20"/>
                <w:szCs w:val="20"/>
              </w:rPr>
              <w:t>级指标</w:t>
            </w:r>
          </w:p>
        </w:tc>
        <w:tc>
          <w:tcPr>
            <w:tcW w:w="713"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指标</w:t>
            </w:r>
            <w:r>
              <w:rPr>
                <w:rFonts w:ascii="宋体" w:hAnsi="宋体" w:cs="宋体"/>
                <w:kern w:val="0"/>
                <w:sz w:val="20"/>
                <w:szCs w:val="20"/>
              </w:rPr>
              <w:t>值</w:t>
            </w:r>
          </w:p>
        </w:tc>
        <w:tc>
          <w:tcPr>
            <w:tcW w:w="1073"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完成</w:t>
            </w:r>
            <w:r>
              <w:rPr>
                <w:rFonts w:ascii="宋体" w:hAnsi="宋体" w:cs="宋体"/>
                <w:kern w:val="0"/>
                <w:sz w:val="20"/>
                <w:szCs w:val="20"/>
              </w:rPr>
              <w:t>值</w:t>
            </w:r>
          </w:p>
        </w:tc>
        <w:tc>
          <w:tcPr>
            <w:tcW w:w="212" w:type="pct"/>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分</w:t>
            </w:r>
            <w:r>
              <w:rPr>
                <w:rFonts w:ascii="宋体" w:hAnsi="宋体" w:cs="宋体"/>
                <w:kern w:val="0"/>
                <w:sz w:val="20"/>
                <w:szCs w:val="20"/>
              </w:rPr>
              <w:t>值</w:t>
            </w:r>
          </w:p>
        </w:tc>
        <w:tc>
          <w:tcPr>
            <w:tcW w:w="245" w:type="pct"/>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得</w:t>
            </w:r>
            <w:r>
              <w:rPr>
                <w:rFonts w:ascii="宋体" w:hAnsi="宋体" w:cs="宋体"/>
                <w:kern w:val="0"/>
                <w:sz w:val="20"/>
                <w:szCs w:val="20"/>
              </w:rPr>
              <w:t>分</w:t>
            </w:r>
          </w:p>
        </w:tc>
        <w:tc>
          <w:tcPr>
            <w:tcW w:w="828"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b/>
                <w:bCs/>
                <w:kern w:val="0"/>
                <w:sz w:val="20"/>
                <w:szCs w:val="20"/>
              </w:rPr>
            </w:pPr>
            <w:r>
              <w:rPr>
                <w:rFonts w:hint="eastAsia" w:ascii="宋体" w:hAnsi="宋体" w:cs="宋体"/>
                <w:bCs/>
                <w:kern w:val="0"/>
                <w:sz w:val="20"/>
                <w:szCs w:val="20"/>
              </w:rPr>
              <w:t>指标</w:t>
            </w:r>
            <w:r>
              <w:rPr>
                <w:rFonts w:ascii="宋体" w:hAnsi="宋体" w:cs="宋体"/>
                <w:bCs/>
                <w:kern w:val="0"/>
                <w:sz w:val="20"/>
                <w:szCs w:val="20"/>
              </w:rPr>
              <w:t>解释</w:t>
            </w:r>
          </w:p>
        </w:tc>
        <w:tc>
          <w:tcPr>
            <w:tcW w:w="1008"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评</w:t>
            </w:r>
            <w:r>
              <w:rPr>
                <w:rFonts w:ascii="宋体" w:hAnsi="宋体" w:cs="宋体"/>
                <w:kern w:val="0"/>
                <w:sz w:val="20"/>
                <w:szCs w:val="20"/>
              </w:rPr>
              <w:t>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4" w:hRule="atLeast"/>
        </w:trPr>
        <w:tc>
          <w:tcPr>
            <w:tcW w:w="227" w:type="pct"/>
            <w:vMerge w:val="restar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预算管理情况（20）</w:t>
            </w:r>
          </w:p>
        </w:tc>
        <w:tc>
          <w:tcPr>
            <w:tcW w:w="319" w:type="pct"/>
            <w:vMerge w:val="restar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财务管理（4）</w:t>
            </w:r>
          </w:p>
        </w:tc>
        <w:tc>
          <w:tcPr>
            <w:tcW w:w="371"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财务管理制度健全性</w:t>
            </w:r>
          </w:p>
        </w:tc>
        <w:tc>
          <w:tcPr>
            <w:tcW w:w="713" w:type="pct"/>
            <w:vAlign w:val="center"/>
          </w:tcPr>
          <w:p>
            <w:pPr>
              <w:keepNext w:val="0"/>
              <w:keepLines w:val="0"/>
              <w:pageBreakBefore w:val="0"/>
              <w:widowControl/>
              <w:kinsoku/>
              <w:wordWrap/>
              <w:overflowPunct/>
              <w:topLinePunct w:val="0"/>
              <w:autoSpaceDE/>
              <w:autoSpaceDN/>
              <w:bidi w:val="0"/>
              <w:adjustRightInd/>
              <w:snapToGrid/>
              <w:textAlignment w:val="auto"/>
              <w:rPr>
                <w:rFonts w:ascii="宋体" w:hAnsi="宋体" w:cs="宋体"/>
                <w:kern w:val="0"/>
                <w:sz w:val="20"/>
                <w:szCs w:val="20"/>
              </w:rPr>
            </w:pPr>
            <w:r>
              <w:rPr>
                <w:rFonts w:hint="eastAsia" w:ascii="宋体" w:hAnsi="宋体" w:cs="宋体"/>
                <w:kern w:val="0"/>
                <w:sz w:val="20"/>
                <w:szCs w:val="20"/>
              </w:rPr>
              <w:t>财务管理制度健全、完整、合规</w:t>
            </w:r>
          </w:p>
        </w:tc>
        <w:tc>
          <w:tcPr>
            <w:tcW w:w="1073"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一是预算资金管理办法、绩效跟踪管理办法、资产管理办法等各项制度健全，二是部门内部财务管理制度完整、合规，三是会计核算制度完整、合规。　</w:t>
            </w:r>
          </w:p>
        </w:tc>
        <w:tc>
          <w:tcPr>
            <w:tcW w:w="212" w:type="pct"/>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1</w:t>
            </w:r>
          </w:p>
        </w:tc>
        <w:tc>
          <w:tcPr>
            <w:tcW w:w="245" w:type="pct"/>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color w:val="000000"/>
                <w:kern w:val="0"/>
                <w:sz w:val="20"/>
                <w:szCs w:val="20"/>
                <w:lang w:bidi="ar"/>
              </w:rPr>
              <w:t>1</w:t>
            </w:r>
          </w:p>
        </w:tc>
        <w:tc>
          <w:tcPr>
            <w:tcW w:w="828" w:type="pct"/>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r>
              <w:rPr>
                <w:rFonts w:hint="eastAsia" w:ascii="宋体" w:hAnsi="宋体" w:cs="宋体"/>
                <w:b/>
                <w:bCs/>
                <w:kern w:val="0"/>
                <w:sz w:val="20"/>
                <w:szCs w:val="20"/>
              </w:rPr>
              <w:t>财务管理制度健全性:</w:t>
            </w:r>
            <w:r>
              <w:rPr>
                <w:rFonts w:hint="eastAsia" w:ascii="宋体" w:hAnsi="宋体" w:cs="宋体"/>
                <w:kern w:val="0"/>
                <w:sz w:val="20"/>
                <w:szCs w:val="20"/>
              </w:rPr>
              <w:t>部门（单位）为加强财务管理、规范财务行为而制定的管理制度。</w:t>
            </w:r>
          </w:p>
        </w:tc>
        <w:tc>
          <w:tcPr>
            <w:tcW w:w="1008" w:type="pct"/>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r>
              <w:rPr>
                <w:rFonts w:hint="eastAsia" w:ascii="宋体" w:hAnsi="宋体" w:cs="宋体"/>
                <w:kern w:val="0"/>
                <w:sz w:val="20"/>
                <w:szCs w:val="20"/>
              </w:rPr>
              <w:t>①预算资金管理办法、绩效跟踪管理办法、资产管理办法等各项制度是否健全；②部门内部财务管理制度是否完整、合规；③会计核算制度是否完整、合规。每有一项不合格扣0.5分，扣完为止。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227"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c>
          <w:tcPr>
            <w:tcW w:w="319"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c>
          <w:tcPr>
            <w:tcW w:w="371"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资金使用合规性和安全性</w:t>
            </w:r>
          </w:p>
        </w:tc>
        <w:tc>
          <w:tcPr>
            <w:tcW w:w="713" w:type="pct"/>
            <w:vAlign w:val="center"/>
          </w:tcPr>
          <w:p>
            <w:pPr>
              <w:keepNext w:val="0"/>
              <w:keepLines w:val="0"/>
              <w:pageBreakBefore w:val="0"/>
              <w:widowControl/>
              <w:kinsoku/>
              <w:wordWrap/>
              <w:overflowPunct/>
              <w:topLinePunct w:val="0"/>
              <w:autoSpaceDE/>
              <w:autoSpaceDN/>
              <w:bidi w:val="0"/>
              <w:adjustRightInd/>
              <w:snapToGrid/>
              <w:textAlignment w:val="auto"/>
              <w:rPr>
                <w:rFonts w:ascii="宋体" w:hAnsi="宋体" w:cs="宋体"/>
                <w:kern w:val="0"/>
                <w:sz w:val="20"/>
                <w:szCs w:val="20"/>
              </w:rPr>
            </w:pPr>
            <w:r>
              <w:rPr>
                <w:rFonts w:hint="eastAsia" w:ascii="宋体" w:hAnsi="宋体" w:cs="宋体"/>
                <w:kern w:val="0"/>
                <w:sz w:val="20"/>
                <w:szCs w:val="20"/>
              </w:rPr>
              <w:t>按照财务管理制度的规定开支，开支范围符合规定</w:t>
            </w:r>
          </w:p>
        </w:tc>
        <w:tc>
          <w:tcPr>
            <w:tcW w:w="1073" w:type="pct"/>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r>
              <w:rPr>
                <w:rFonts w:hint="eastAsia" w:ascii="宋体" w:hAnsi="宋体" w:cs="宋体"/>
                <w:kern w:val="0"/>
                <w:sz w:val="20"/>
                <w:szCs w:val="20"/>
              </w:rPr>
              <w:t>一是依法依规使用资金。严格按照国家财经法规、财务管理制度规定、专项资金管理办法等规定使用资金，按规定的结算方式进行结算。二是强化资金使用审批。大额资金支出经过评估论证，资金拨付有完整的审批程序和手续。三是规范资金使用过程管理。严格按照预算批复用途使用资金，政府采购应采尽采，不存在截留、挤占、挪用、虚列支出。</w:t>
            </w:r>
          </w:p>
        </w:tc>
        <w:tc>
          <w:tcPr>
            <w:tcW w:w="212" w:type="pct"/>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2</w:t>
            </w:r>
          </w:p>
        </w:tc>
        <w:tc>
          <w:tcPr>
            <w:tcW w:w="245" w:type="pct"/>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color w:val="000000"/>
                <w:kern w:val="0"/>
                <w:sz w:val="20"/>
                <w:szCs w:val="20"/>
                <w:lang w:bidi="ar"/>
              </w:rPr>
              <w:t>2</w:t>
            </w:r>
          </w:p>
        </w:tc>
        <w:tc>
          <w:tcPr>
            <w:tcW w:w="828" w:type="pct"/>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r>
              <w:rPr>
                <w:rFonts w:hint="eastAsia" w:ascii="宋体" w:hAnsi="宋体" w:cs="宋体"/>
                <w:b/>
                <w:bCs/>
                <w:kern w:val="0"/>
                <w:sz w:val="20"/>
                <w:szCs w:val="20"/>
              </w:rPr>
              <w:t>资金使用合规性和安全性:</w:t>
            </w:r>
            <w:r>
              <w:rPr>
                <w:rFonts w:hint="eastAsia" w:ascii="宋体" w:hAnsi="宋体" w:cs="宋体"/>
                <w:kern w:val="0"/>
                <w:sz w:val="20"/>
                <w:szCs w:val="20"/>
              </w:rPr>
              <w:t>部门（单位）使用预算资金是否符合相关的预算财务管理制度的规定，是否符合相关规定的开支范围，用以反映考核部门（单位）预算资金的规范运行和安全运行情况。</w:t>
            </w:r>
          </w:p>
        </w:tc>
        <w:tc>
          <w:tcPr>
            <w:tcW w:w="1008" w:type="pct"/>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r>
              <w:rPr>
                <w:rFonts w:hint="eastAsia" w:ascii="宋体" w:hAnsi="宋体" w:cs="宋体"/>
                <w:kern w:val="0"/>
                <w:sz w:val="20"/>
                <w:szCs w:val="20"/>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4" w:hRule="atLeast"/>
        </w:trPr>
        <w:tc>
          <w:tcPr>
            <w:tcW w:w="227"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c>
          <w:tcPr>
            <w:tcW w:w="319"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c>
          <w:tcPr>
            <w:tcW w:w="371"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会计基础信息完善性</w:t>
            </w:r>
          </w:p>
        </w:tc>
        <w:tc>
          <w:tcPr>
            <w:tcW w:w="713" w:type="pct"/>
            <w:vAlign w:val="center"/>
          </w:tcPr>
          <w:p>
            <w:pPr>
              <w:keepNext w:val="0"/>
              <w:keepLines w:val="0"/>
              <w:pageBreakBefore w:val="0"/>
              <w:widowControl/>
              <w:kinsoku/>
              <w:wordWrap/>
              <w:overflowPunct/>
              <w:topLinePunct w:val="0"/>
              <w:autoSpaceDE/>
              <w:autoSpaceDN/>
              <w:bidi w:val="0"/>
              <w:adjustRightInd/>
              <w:snapToGrid/>
              <w:textAlignment w:val="auto"/>
              <w:rPr>
                <w:rFonts w:ascii="宋体" w:hAnsi="宋体" w:cs="宋体"/>
                <w:kern w:val="0"/>
                <w:sz w:val="20"/>
                <w:szCs w:val="20"/>
              </w:rPr>
            </w:pPr>
            <w:r>
              <w:rPr>
                <w:rFonts w:hint="eastAsia" w:ascii="宋体" w:hAnsi="宋体" w:cs="宋体"/>
                <w:kern w:val="0"/>
                <w:sz w:val="20"/>
                <w:szCs w:val="20"/>
              </w:rPr>
              <w:t>会计基础信息真实、完整、准确　</w:t>
            </w:r>
          </w:p>
        </w:tc>
        <w:tc>
          <w:tcPr>
            <w:tcW w:w="1073" w:type="pct"/>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r>
              <w:rPr>
                <w:rFonts w:hint="eastAsia" w:ascii="宋体" w:hAnsi="宋体" w:cs="宋体"/>
                <w:kern w:val="0"/>
                <w:sz w:val="20"/>
                <w:szCs w:val="20"/>
              </w:rPr>
              <w:t>严格按照国家统一的会计制度，以实际发生的交易或事项为依据，开展会计核算，编制财务报表报告，及时整理会计档案，会计基础信息真实、准确、完整。</w:t>
            </w:r>
          </w:p>
        </w:tc>
        <w:tc>
          <w:tcPr>
            <w:tcW w:w="212" w:type="pct"/>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1</w:t>
            </w:r>
          </w:p>
        </w:tc>
        <w:tc>
          <w:tcPr>
            <w:tcW w:w="245" w:type="pct"/>
            <w:noWrap/>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color w:val="000000"/>
                <w:kern w:val="0"/>
                <w:sz w:val="20"/>
                <w:szCs w:val="20"/>
                <w:lang w:bidi="ar"/>
              </w:rPr>
              <w:t>1</w:t>
            </w:r>
          </w:p>
        </w:tc>
        <w:tc>
          <w:tcPr>
            <w:tcW w:w="828" w:type="pct"/>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r>
              <w:rPr>
                <w:rFonts w:hint="eastAsia" w:ascii="宋体" w:hAnsi="宋体" w:cs="宋体"/>
                <w:b/>
                <w:bCs/>
                <w:kern w:val="0"/>
                <w:sz w:val="20"/>
                <w:szCs w:val="20"/>
              </w:rPr>
              <w:t>会计基础信息完善性:</w:t>
            </w:r>
            <w:r>
              <w:rPr>
                <w:rFonts w:hint="eastAsia" w:ascii="宋体" w:hAnsi="宋体" w:cs="宋体"/>
                <w:kern w:val="0"/>
                <w:sz w:val="20"/>
                <w:szCs w:val="20"/>
              </w:rPr>
              <w:t>部门（单位）会计基础信息情况。</w:t>
            </w:r>
          </w:p>
        </w:tc>
        <w:tc>
          <w:tcPr>
            <w:tcW w:w="1008" w:type="pct"/>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r>
              <w:rPr>
                <w:rFonts w:hint="eastAsia" w:ascii="宋体" w:hAnsi="宋体" w:cs="宋体"/>
                <w:kern w:val="0"/>
                <w:sz w:val="20"/>
                <w:szCs w:val="20"/>
              </w:rPr>
              <w:t>①基础数据信息和会计信息资料是否真实；②基础数据信息和会计信息资料是否完整；③基础数据信息和会计信息资料是否准确。每有一项不合格扣0.5分，扣完为止。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2" w:hRule="atLeast"/>
        </w:trPr>
        <w:tc>
          <w:tcPr>
            <w:tcW w:w="227"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c>
          <w:tcPr>
            <w:tcW w:w="319"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资产管理（4）</w:t>
            </w:r>
          </w:p>
        </w:tc>
        <w:tc>
          <w:tcPr>
            <w:tcW w:w="371"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资产管理规范性</w:t>
            </w:r>
          </w:p>
        </w:tc>
        <w:tc>
          <w:tcPr>
            <w:tcW w:w="713"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资产安全完整、合理配置、使用和处置规范</w:t>
            </w:r>
          </w:p>
        </w:tc>
        <w:tc>
          <w:tcPr>
            <w:tcW w:w="1073" w:type="pct"/>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r>
              <w:rPr>
                <w:rFonts w:hint="eastAsia" w:ascii="宋体" w:hAnsi="宋体" w:cs="宋体"/>
                <w:kern w:val="0"/>
                <w:sz w:val="20"/>
                <w:szCs w:val="20"/>
              </w:rPr>
              <w:t>一是强化资产管理，严格按照固定资产管理制度规定执行，不存在管理不当导致的严重资产损失。二是规范资产使用，定期开展资产清查，不存在未经批准擅自出租出借行为。三是规范资产处置，不存在不按要求进行报批或资产不公开处置行为。</w:t>
            </w:r>
          </w:p>
        </w:tc>
        <w:tc>
          <w:tcPr>
            <w:tcW w:w="212"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highlight w:val="yellow"/>
              </w:rPr>
            </w:pPr>
            <w:r>
              <w:rPr>
                <w:rFonts w:hint="eastAsia" w:ascii="宋体" w:hAnsi="宋体" w:cs="宋体"/>
                <w:kern w:val="0"/>
                <w:sz w:val="20"/>
                <w:szCs w:val="20"/>
              </w:rPr>
              <w:t>4</w:t>
            </w:r>
          </w:p>
        </w:tc>
        <w:tc>
          <w:tcPr>
            <w:tcW w:w="245"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highlight w:val="yellow"/>
              </w:rPr>
            </w:pPr>
            <w:r>
              <w:rPr>
                <w:rFonts w:hint="eastAsia" w:ascii="宋体" w:hAnsi="宋体" w:cs="宋体"/>
                <w:color w:val="000000"/>
                <w:kern w:val="0"/>
                <w:sz w:val="20"/>
                <w:szCs w:val="20"/>
                <w:lang w:bidi="ar"/>
              </w:rPr>
              <w:t>3.2</w:t>
            </w:r>
          </w:p>
        </w:tc>
        <w:tc>
          <w:tcPr>
            <w:tcW w:w="828" w:type="pct"/>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r>
              <w:rPr>
                <w:rFonts w:hint="eastAsia" w:ascii="宋体" w:hAnsi="宋体" w:cs="宋体"/>
                <w:b/>
                <w:bCs/>
                <w:kern w:val="0"/>
                <w:sz w:val="20"/>
                <w:szCs w:val="20"/>
              </w:rPr>
              <w:t>资产管理规范性:</w:t>
            </w:r>
            <w:r>
              <w:rPr>
                <w:rFonts w:hint="eastAsia" w:ascii="宋体" w:hAnsi="宋体" w:cs="宋体"/>
                <w:kern w:val="0"/>
                <w:sz w:val="20"/>
                <w:szCs w:val="20"/>
              </w:rPr>
              <w:t>部门（单位）的资产是否保持安全完整，资产配置是否合理，资产使用和资产处理是否规范，用以反映和考核部门（单位）资产管理的整体水平。</w:t>
            </w:r>
          </w:p>
        </w:tc>
        <w:tc>
          <w:tcPr>
            <w:tcW w:w="1008" w:type="pct"/>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r>
              <w:rPr>
                <w:rFonts w:hint="eastAsia" w:ascii="宋体" w:hAnsi="宋体" w:cs="宋体"/>
                <w:kern w:val="0"/>
                <w:sz w:val="20"/>
                <w:szCs w:val="20"/>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227"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c>
          <w:tcPr>
            <w:tcW w:w="319"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绩效管理（4）</w:t>
            </w:r>
          </w:p>
        </w:tc>
        <w:tc>
          <w:tcPr>
            <w:tcW w:w="371"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绩效管理情况</w:t>
            </w:r>
          </w:p>
        </w:tc>
        <w:tc>
          <w:tcPr>
            <w:tcW w:w="713"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及时对绩效信息进行汇总整理，对绩效目标偏离及时矫正</w:t>
            </w:r>
          </w:p>
        </w:tc>
        <w:tc>
          <w:tcPr>
            <w:tcW w:w="1073"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全面落实</w:t>
            </w:r>
            <w:r>
              <w:rPr>
                <w:rFonts w:ascii="宋体" w:hAnsi="宋体" w:cs="宋体"/>
                <w:kern w:val="0"/>
                <w:sz w:val="20"/>
                <w:szCs w:val="20"/>
              </w:rPr>
              <w:t>绩效管理</w:t>
            </w:r>
            <w:r>
              <w:rPr>
                <w:rFonts w:hint="eastAsia" w:ascii="宋体" w:hAnsi="宋体" w:cs="宋体"/>
                <w:kern w:val="0"/>
                <w:sz w:val="20"/>
                <w:szCs w:val="20"/>
              </w:rPr>
              <w:t>相关</w:t>
            </w:r>
            <w:r>
              <w:rPr>
                <w:rFonts w:ascii="宋体" w:hAnsi="宋体" w:cs="宋体"/>
                <w:kern w:val="0"/>
                <w:sz w:val="20"/>
                <w:szCs w:val="20"/>
              </w:rPr>
              <w:t>要求</w:t>
            </w:r>
            <w:r>
              <w:rPr>
                <w:rFonts w:hint="eastAsia" w:ascii="宋体" w:hAnsi="宋体" w:cs="宋体"/>
                <w:kern w:val="0"/>
                <w:sz w:val="20"/>
                <w:szCs w:val="20"/>
              </w:rPr>
              <w:t>，加强绩效信息的汇总和应用，深化全流程绩效监控，按月对绩效监控信息进行收集、审核、分析、汇总，对发现目标</w:t>
            </w:r>
            <w:r>
              <w:rPr>
                <w:rFonts w:ascii="宋体" w:hAnsi="宋体" w:cs="宋体"/>
                <w:kern w:val="0"/>
                <w:sz w:val="20"/>
                <w:szCs w:val="20"/>
              </w:rPr>
              <w:t>偏离情况</w:t>
            </w:r>
            <w:r>
              <w:rPr>
                <w:rFonts w:hint="eastAsia" w:ascii="宋体" w:hAnsi="宋体" w:cs="宋体"/>
                <w:kern w:val="0"/>
                <w:sz w:val="20"/>
                <w:szCs w:val="20"/>
              </w:rPr>
              <w:t>，及时纠偏。</w:t>
            </w:r>
          </w:p>
        </w:tc>
        <w:tc>
          <w:tcPr>
            <w:tcW w:w="212"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4</w:t>
            </w:r>
          </w:p>
        </w:tc>
        <w:tc>
          <w:tcPr>
            <w:tcW w:w="245"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color w:val="000000"/>
                <w:kern w:val="0"/>
                <w:sz w:val="20"/>
                <w:szCs w:val="20"/>
                <w:lang w:bidi="ar"/>
              </w:rPr>
              <w:t>4</w:t>
            </w:r>
          </w:p>
        </w:tc>
        <w:tc>
          <w:tcPr>
            <w:tcW w:w="828" w:type="pct"/>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r>
              <w:rPr>
                <w:rFonts w:hint="eastAsia" w:ascii="宋体" w:hAnsi="宋体" w:cs="宋体"/>
                <w:b/>
                <w:bCs/>
                <w:kern w:val="0"/>
                <w:sz w:val="20"/>
                <w:szCs w:val="20"/>
              </w:rPr>
              <w:t>绩效管理情况:</w:t>
            </w:r>
            <w:r>
              <w:rPr>
                <w:rFonts w:hint="eastAsia" w:ascii="宋体" w:hAnsi="宋体" w:cs="宋体"/>
                <w:kern w:val="0"/>
                <w:sz w:val="20"/>
                <w:szCs w:val="20"/>
              </w:rPr>
              <w:t>考核部门（单位）在绩效管理信息的汇总和应用情况。</w:t>
            </w:r>
          </w:p>
        </w:tc>
        <w:tc>
          <w:tcPr>
            <w:tcW w:w="1008" w:type="pct"/>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r>
              <w:rPr>
                <w:rFonts w:hint="eastAsia" w:ascii="宋体" w:hAnsi="宋体" w:cs="宋体"/>
                <w:kern w:val="0"/>
                <w:sz w:val="20"/>
                <w:szCs w:val="20"/>
              </w:rPr>
              <w:t>①部门（单位）是否及时对绩效信息进行汇总分析整理；②部门（单位）是否对绩效目标偏离情况及时进行矫正。每有一项不合格扣2分。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227"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c>
          <w:tcPr>
            <w:tcW w:w="319"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指标　</w:t>
            </w:r>
          </w:p>
        </w:tc>
        <w:tc>
          <w:tcPr>
            <w:tcW w:w="1084" w:type="pct"/>
            <w:gridSpan w:val="2"/>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2022年</w:t>
            </w:r>
          </w:p>
        </w:tc>
        <w:tc>
          <w:tcPr>
            <w:tcW w:w="1073"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2023年</w:t>
            </w:r>
          </w:p>
        </w:tc>
        <w:tc>
          <w:tcPr>
            <w:tcW w:w="212"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分值</w:t>
            </w:r>
          </w:p>
        </w:tc>
        <w:tc>
          <w:tcPr>
            <w:tcW w:w="245"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得分</w:t>
            </w:r>
          </w:p>
        </w:tc>
        <w:tc>
          <w:tcPr>
            <w:tcW w:w="828"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bCs/>
                <w:kern w:val="0"/>
                <w:sz w:val="20"/>
                <w:szCs w:val="20"/>
              </w:rPr>
              <w:t>指标</w:t>
            </w:r>
            <w:r>
              <w:rPr>
                <w:rFonts w:ascii="宋体" w:hAnsi="宋体" w:cs="宋体"/>
                <w:bCs/>
                <w:kern w:val="0"/>
                <w:sz w:val="20"/>
                <w:szCs w:val="20"/>
              </w:rPr>
              <w:t>解释</w:t>
            </w:r>
          </w:p>
        </w:tc>
        <w:tc>
          <w:tcPr>
            <w:tcW w:w="1008"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eastAsia="Times New Roman"/>
                <w:kern w:val="0"/>
                <w:sz w:val="20"/>
                <w:szCs w:val="20"/>
              </w:rPr>
            </w:pPr>
            <w:r>
              <w:rPr>
                <w:rFonts w:hint="eastAsia" w:ascii="宋体" w:hAnsi="宋体" w:cs="宋体"/>
                <w:kern w:val="0"/>
                <w:sz w:val="20"/>
                <w:szCs w:val="20"/>
              </w:rPr>
              <w:t>评</w:t>
            </w:r>
            <w:r>
              <w:rPr>
                <w:rFonts w:ascii="宋体" w:hAnsi="宋体" w:cs="宋体"/>
                <w:kern w:val="0"/>
                <w:sz w:val="20"/>
                <w:szCs w:val="20"/>
              </w:rPr>
              <w:t>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227"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c>
          <w:tcPr>
            <w:tcW w:w="319" w:type="pct"/>
            <w:vAlign w:val="center"/>
          </w:tcPr>
          <w:p>
            <w:pPr>
              <w:keepNext w:val="0"/>
              <w:keepLines w:val="0"/>
              <w:pageBreakBefore w:val="0"/>
              <w:widowControl/>
              <w:kinsoku/>
              <w:wordWrap/>
              <w:overflowPunct/>
              <w:topLinePunct w:val="0"/>
              <w:autoSpaceDE/>
              <w:autoSpaceDN/>
              <w:bidi w:val="0"/>
              <w:adjustRightInd/>
              <w:snapToGrid/>
              <w:textAlignment w:val="auto"/>
              <w:rPr>
                <w:rFonts w:ascii="宋体" w:hAnsi="宋体" w:cs="宋体"/>
                <w:kern w:val="0"/>
                <w:sz w:val="20"/>
                <w:szCs w:val="20"/>
              </w:rPr>
            </w:pPr>
            <w:r>
              <w:rPr>
                <w:rFonts w:hint="eastAsia" w:ascii="宋体" w:hAnsi="宋体" w:cs="宋体"/>
                <w:kern w:val="0"/>
                <w:sz w:val="20"/>
                <w:szCs w:val="20"/>
              </w:rPr>
              <w:t>结转结余率（4）</w:t>
            </w:r>
          </w:p>
        </w:tc>
        <w:tc>
          <w:tcPr>
            <w:tcW w:w="1084" w:type="pct"/>
            <w:gridSpan w:val="2"/>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ascii="宋体" w:hAnsi="宋体" w:cs="宋体"/>
                <w:kern w:val="0"/>
                <w:sz w:val="20"/>
                <w:szCs w:val="20"/>
              </w:rPr>
              <w:t>7.</w:t>
            </w:r>
            <w:r>
              <w:rPr>
                <w:rFonts w:ascii="宋体" w:hAnsi="宋体" w:cs="宋体"/>
                <w:kern w:val="0"/>
                <w:sz w:val="20"/>
                <w:szCs w:val="20"/>
                <w:lang w:val="en"/>
              </w:rPr>
              <w:t>34</w:t>
            </w:r>
            <w:r>
              <w:rPr>
                <w:rFonts w:hint="eastAsia" w:ascii="宋体" w:hAnsi="宋体" w:cs="宋体"/>
                <w:kern w:val="0"/>
                <w:sz w:val="20"/>
                <w:szCs w:val="20"/>
              </w:rPr>
              <w:t>%　</w:t>
            </w:r>
          </w:p>
        </w:tc>
        <w:tc>
          <w:tcPr>
            <w:tcW w:w="1073"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6.02%</w:t>
            </w:r>
          </w:p>
        </w:tc>
        <w:tc>
          <w:tcPr>
            <w:tcW w:w="212"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4</w:t>
            </w:r>
          </w:p>
        </w:tc>
        <w:tc>
          <w:tcPr>
            <w:tcW w:w="245"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4　</w:t>
            </w:r>
          </w:p>
        </w:tc>
        <w:tc>
          <w:tcPr>
            <w:tcW w:w="828" w:type="pct"/>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r>
              <w:rPr>
                <w:rFonts w:hint="eastAsia" w:ascii="宋体" w:hAnsi="宋体" w:cs="宋体"/>
                <w:kern w:val="0"/>
                <w:sz w:val="20"/>
                <w:szCs w:val="20"/>
              </w:rPr>
              <w:t>结转结余率=结转结余总额/支出预算数×100%。</w:t>
            </w:r>
          </w:p>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r>
              <w:rPr>
                <w:rFonts w:hint="eastAsia" w:ascii="宋体" w:hAnsi="宋体" w:cs="宋体"/>
                <w:kern w:val="0"/>
                <w:sz w:val="20"/>
                <w:szCs w:val="20"/>
              </w:rPr>
              <w:t>结转结余总额：部门（单位）本年度的结转资金与结余资金之和。</w:t>
            </w:r>
          </w:p>
        </w:tc>
        <w:tc>
          <w:tcPr>
            <w:tcW w:w="1008" w:type="pct"/>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r>
              <w:rPr>
                <w:rFonts w:hint="eastAsia" w:ascii="宋体" w:hAnsi="宋体" w:cs="宋体"/>
                <w:kern w:val="0"/>
                <w:sz w:val="20"/>
                <w:szCs w:val="20"/>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27" w:type="pct"/>
            <w:vMerge w:val="continue"/>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p>
        </w:tc>
        <w:tc>
          <w:tcPr>
            <w:tcW w:w="319" w:type="pct"/>
            <w:vAlign w:val="center"/>
          </w:tcPr>
          <w:p>
            <w:pPr>
              <w:keepNext w:val="0"/>
              <w:keepLines w:val="0"/>
              <w:pageBreakBefore w:val="0"/>
              <w:widowControl/>
              <w:kinsoku/>
              <w:wordWrap/>
              <w:overflowPunct/>
              <w:topLinePunct w:val="0"/>
              <w:autoSpaceDE/>
              <w:autoSpaceDN/>
              <w:bidi w:val="0"/>
              <w:adjustRightInd/>
              <w:snapToGrid/>
              <w:textAlignment w:val="auto"/>
              <w:rPr>
                <w:rFonts w:ascii="宋体" w:hAnsi="宋体" w:cs="宋体"/>
                <w:kern w:val="0"/>
                <w:sz w:val="20"/>
                <w:szCs w:val="20"/>
              </w:rPr>
            </w:pPr>
            <w:r>
              <w:rPr>
                <w:rFonts w:hint="eastAsia" w:ascii="宋体" w:hAnsi="宋体" w:cs="宋体"/>
                <w:kern w:val="0"/>
                <w:sz w:val="20"/>
                <w:szCs w:val="20"/>
              </w:rPr>
              <w:t>部门预决算差异率（4）</w:t>
            </w:r>
          </w:p>
        </w:tc>
        <w:tc>
          <w:tcPr>
            <w:tcW w:w="1084" w:type="pct"/>
            <w:gridSpan w:val="2"/>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6</w:t>
            </w:r>
            <w:r>
              <w:rPr>
                <w:rFonts w:ascii="宋体" w:hAnsi="宋体" w:cs="宋体"/>
                <w:kern w:val="0"/>
                <w:sz w:val="20"/>
                <w:szCs w:val="20"/>
              </w:rPr>
              <w:t>.11%</w:t>
            </w:r>
          </w:p>
        </w:tc>
        <w:tc>
          <w:tcPr>
            <w:tcW w:w="1073"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4.77</w:t>
            </w:r>
            <w:r>
              <w:rPr>
                <w:rFonts w:ascii="宋体" w:hAnsi="宋体" w:cs="宋体"/>
                <w:kern w:val="0"/>
                <w:sz w:val="20"/>
                <w:szCs w:val="20"/>
              </w:rPr>
              <w:t>%</w:t>
            </w:r>
          </w:p>
        </w:tc>
        <w:tc>
          <w:tcPr>
            <w:tcW w:w="212"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4</w:t>
            </w:r>
          </w:p>
        </w:tc>
        <w:tc>
          <w:tcPr>
            <w:tcW w:w="245"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kern w:val="0"/>
                <w:sz w:val="20"/>
                <w:szCs w:val="20"/>
              </w:rPr>
            </w:pPr>
            <w:r>
              <w:rPr>
                <w:rFonts w:hint="eastAsia" w:ascii="宋体" w:hAnsi="宋体" w:cs="宋体"/>
                <w:kern w:val="0"/>
                <w:sz w:val="20"/>
                <w:szCs w:val="20"/>
              </w:rPr>
              <w:t>4　</w:t>
            </w:r>
          </w:p>
        </w:tc>
        <w:tc>
          <w:tcPr>
            <w:tcW w:w="828" w:type="pct"/>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r>
              <w:rPr>
                <w:rFonts w:hint="eastAsia" w:ascii="宋体" w:hAnsi="宋体" w:cs="宋体"/>
                <w:kern w:val="0"/>
                <w:sz w:val="20"/>
                <w:szCs w:val="20"/>
              </w:rPr>
              <w:t>通过年度部门决算与年初部门预算对比，对部门的年度支出情况进行考核，衡量部门预算的约束力。</w:t>
            </w:r>
          </w:p>
        </w:tc>
        <w:tc>
          <w:tcPr>
            <w:tcW w:w="1008" w:type="pct"/>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cs="宋体"/>
                <w:kern w:val="0"/>
                <w:sz w:val="20"/>
                <w:szCs w:val="20"/>
              </w:rPr>
            </w:pPr>
            <w:r>
              <w:rPr>
                <w:rFonts w:hint="eastAsia" w:ascii="宋体" w:hAnsi="宋体" w:cs="宋体"/>
                <w:kern w:val="0"/>
                <w:sz w:val="20"/>
                <w:szCs w:val="20"/>
              </w:rPr>
              <w:t>部门预决算差异率高于市级平均差异率（28.3%）的，每高出10%（含），扣0.4分，扣完为止。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2705" w:type="pct"/>
            <w:gridSpan w:val="5"/>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b/>
                <w:bCs/>
                <w:kern w:val="0"/>
                <w:sz w:val="20"/>
                <w:szCs w:val="20"/>
              </w:rPr>
            </w:pPr>
            <w:r>
              <w:rPr>
                <w:rFonts w:hint="eastAsia" w:ascii="宋体" w:hAnsi="宋体" w:cs="宋体"/>
                <w:b/>
                <w:bCs/>
                <w:kern w:val="0"/>
                <w:sz w:val="20"/>
                <w:szCs w:val="20"/>
              </w:rPr>
              <w:t>合计</w:t>
            </w:r>
          </w:p>
        </w:tc>
        <w:tc>
          <w:tcPr>
            <w:tcW w:w="212"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b/>
                <w:bCs/>
                <w:kern w:val="0"/>
                <w:sz w:val="20"/>
                <w:szCs w:val="20"/>
              </w:rPr>
            </w:pPr>
            <w:r>
              <w:rPr>
                <w:rFonts w:hint="eastAsia" w:ascii="宋体" w:hAnsi="宋体" w:cs="宋体"/>
                <w:b/>
                <w:bCs/>
                <w:kern w:val="0"/>
                <w:sz w:val="20"/>
                <w:szCs w:val="20"/>
              </w:rPr>
              <w:t>100</w:t>
            </w:r>
          </w:p>
        </w:tc>
        <w:tc>
          <w:tcPr>
            <w:tcW w:w="245" w:type="pct"/>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b/>
                <w:bCs/>
                <w:kern w:val="0"/>
                <w:sz w:val="20"/>
                <w:szCs w:val="20"/>
              </w:rPr>
            </w:pPr>
            <w:r>
              <w:rPr>
                <w:rFonts w:hint="eastAsia" w:ascii="宋体" w:hAnsi="宋体" w:cs="宋体"/>
                <w:b/>
                <w:bCs/>
                <w:kern w:val="0"/>
                <w:sz w:val="20"/>
                <w:szCs w:val="20"/>
              </w:rPr>
              <w:t>96.20　</w:t>
            </w:r>
          </w:p>
        </w:tc>
        <w:tc>
          <w:tcPr>
            <w:tcW w:w="1836" w:type="pct"/>
            <w:gridSpan w:val="2"/>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b/>
                <w:bCs/>
                <w:kern w:val="0"/>
                <w:sz w:val="20"/>
                <w:szCs w:val="20"/>
              </w:rPr>
            </w:pPr>
            <w:r>
              <w:rPr>
                <w:rFonts w:hint="eastAsia" w:ascii="宋体" w:hAnsi="宋体" w:cs="宋体"/>
                <w:b/>
                <w:bCs/>
                <w:kern w:val="0"/>
                <w:sz w:val="20"/>
                <w:szCs w:val="20"/>
              </w:rPr>
              <w:t>　</w:t>
            </w:r>
          </w:p>
        </w:tc>
      </w:tr>
    </w:tbl>
    <w:p>
      <w:pPr>
        <w:pBdr>
          <w:bottom w:val="single" w:color="FFFFFF" w:sz="4" w:space="31"/>
        </w:pBdr>
        <w:adjustRightInd w:val="0"/>
        <w:snapToGrid w:val="0"/>
        <w:spacing w:line="560" w:lineRule="exact"/>
        <w:ind w:firstLine="640" w:firstLineChars="200"/>
        <w:rPr>
          <w:rFonts w:hint="eastAsia" w:ascii="仿宋_GB2312" w:hAnsi="宋体" w:eastAsia="仿宋_GB2312" w:cs="宋体"/>
          <w:kern w:val="0"/>
          <w:sz w:val="32"/>
          <w:szCs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等线">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eastAsia" w:ascii="仿宋_GB2312" w:hAnsi="仿宋_GB2312" w:eastAsia="仿宋_GB2312" w:cs="仿宋_GB2312"/>
        <w:sz w:val="30"/>
        <w:szCs w:val="30"/>
      </w:rPr>
      <w:id w:val="-2040965793"/>
    </w:sdtPr>
    <w:sdtEndPr>
      <w:rPr>
        <w:rFonts w:hint="eastAsia" w:ascii="宋体" w:hAnsi="宋体" w:eastAsia="宋体" w:cs="仿宋_GB2312"/>
        <w:sz w:val="30"/>
        <w:szCs w:val="30"/>
      </w:rPr>
    </w:sdtEndPr>
    <w:sdtContent>
      <w:p>
        <w:pPr>
          <w:pStyle w:val="7"/>
          <w:ind w:firstLine="360"/>
          <w:jc w:val="cente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PAGE   \* MERGEFORMAT</w:instrText>
        </w:r>
        <w:r>
          <w:rPr>
            <w:rFonts w:hint="eastAsia" w:ascii="仿宋_GB2312" w:hAnsi="仿宋_GB2312" w:eastAsia="仿宋_GB2312" w:cs="仿宋_GB2312"/>
            <w:sz w:val="30"/>
            <w:szCs w:val="30"/>
          </w:rPr>
          <w:fldChar w:fldCharType="separate"/>
        </w:r>
        <w:r>
          <w:rPr>
            <w:rFonts w:ascii="仿宋_GB2312" w:hAnsi="仿宋_GB2312" w:eastAsia="仿宋_GB2312" w:cs="仿宋_GB2312"/>
            <w:sz w:val="30"/>
            <w:szCs w:val="30"/>
            <w:lang w:val="zh-CN"/>
          </w:rPr>
          <w:t>11</w:t>
        </w:r>
        <w:r>
          <w:rPr>
            <w:rFonts w:hint="eastAsia" w:ascii="仿宋_GB2312" w:hAnsi="仿宋_GB2312" w:eastAsia="仿宋_GB2312" w:cs="仿宋_GB2312"/>
            <w:sz w:val="30"/>
            <w:szCs w:val="30"/>
          </w:rPr>
          <w:fldChar w:fldCharType="end"/>
        </w:r>
      </w:p>
    </w:sdtContent>
  </w:sdt>
  <w:p>
    <w:pPr>
      <w:ind w:firstLine="42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DC1CF8"/>
    <w:multiLevelType w:val="singleLevel"/>
    <w:tmpl w:val="7CDC1CF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TrueTypeFonts/>
  <w:saveSubsetFonts/>
  <w:bordersDoNotSurroundHeader w:val="true"/>
  <w:bordersDoNotSurroundFooter w:val="true"/>
  <w:documentProtection w:enforcement="0"/>
  <w:defaultTabStop w:val="420"/>
  <w:drawingGridHorizontalSpacing w:val="105"/>
  <w:drawingGridVerticalSpacing w:val="156"/>
  <w:noPunctuationKerning w:val="true"/>
  <w:characterSpacingControl w:val="compressPunctuation"/>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MyMDA4ODVkYzIwZTZlMGY5ZjRjMWEzMDEwNjZlODUifQ=="/>
  </w:docVars>
  <w:rsids>
    <w:rsidRoot w:val="005068E3"/>
    <w:rsid w:val="00004673"/>
    <w:rsid w:val="000143C9"/>
    <w:rsid w:val="0001538F"/>
    <w:rsid w:val="0001713D"/>
    <w:rsid w:val="0002471D"/>
    <w:rsid w:val="00025F6B"/>
    <w:rsid w:val="00033F05"/>
    <w:rsid w:val="000343CC"/>
    <w:rsid w:val="00041C1A"/>
    <w:rsid w:val="00042FD3"/>
    <w:rsid w:val="00061F5D"/>
    <w:rsid w:val="00062298"/>
    <w:rsid w:val="00070B62"/>
    <w:rsid w:val="0007698D"/>
    <w:rsid w:val="00082365"/>
    <w:rsid w:val="00083A88"/>
    <w:rsid w:val="000853D1"/>
    <w:rsid w:val="0008574E"/>
    <w:rsid w:val="000875FE"/>
    <w:rsid w:val="00090373"/>
    <w:rsid w:val="000A1558"/>
    <w:rsid w:val="000A531A"/>
    <w:rsid w:val="000A575C"/>
    <w:rsid w:val="000A6B84"/>
    <w:rsid w:val="000B1311"/>
    <w:rsid w:val="000B38CC"/>
    <w:rsid w:val="000C024B"/>
    <w:rsid w:val="000C045A"/>
    <w:rsid w:val="000C3E91"/>
    <w:rsid w:val="000C4CE9"/>
    <w:rsid w:val="000D36E7"/>
    <w:rsid w:val="000D4BFC"/>
    <w:rsid w:val="000D4D8E"/>
    <w:rsid w:val="000E07AC"/>
    <w:rsid w:val="000E4003"/>
    <w:rsid w:val="000F01F3"/>
    <w:rsid w:val="000F6EFB"/>
    <w:rsid w:val="00103B95"/>
    <w:rsid w:val="00104BBA"/>
    <w:rsid w:val="00105BF2"/>
    <w:rsid w:val="00106B8B"/>
    <w:rsid w:val="001070C4"/>
    <w:rsid w:val="00110449"/>
    <w:rsid w:val="00111C38"/>
    <w:rsid w:val="00112AF0"/>
    <w:rsid w:val="00114E66"/>
    <w:rsid w:val="00115DF6"/>
    <w:rsid w:val="00116D1B"/>
    <w:rsid w:val="001202A5"/>
    <w:rsid w:val="00120452"/>
    <w:rsid w:val="00130AB9"/>
    <w:rsid w:val="0013217C"/>
    <w:rsid w:val="00132D7B"/>
    <w:rsid w:val="001340F9"/>
    <w:rsid w:val="0013693E"/>
    <w:rsid w:val="00136DCF"/>
    <w:rsid w:val="00137C9C"/>
    <w:rsid w:val="00143C26"/>
    <w:rsid w:val="00151FFE"/>
    <w:rsid w:val="001550CF"/>
    <w:rsid w:val="001563BE"/>
    <w:rsid w:val="0016077D"/>
    <w:rsid w:val="00163F6F"/>
    <w:rsid w:val="001718C7"/>
    <w:rsid w:val="001737AF"/>
    <w:rsid w:val="00173C3E"/>
    <w:rsid w:val="00175A01"/>
    <w:rsid w:val="0018629E"/>
    <w:rsid w:val="00186DA4"/>
    <w:rsid w:val="00190E0B"/>
    <w:rsid w:val="0019135A"/>
    <w:rsid w:val="001922A8"/>
    <w:rsid w:val="00192725"/>
    <w:rsid w:val="001927C5"/>
    <w:rsid w:val="00197F3D"/>
    <w:rsid w:val="001A79B4"/>
    <w:rsid w:val="001B1BBA"/>
    <w:rsid w:val="001B44E8"/>
    <w:rsid w:val="001B4EC9"/>
    <w:rsid w:val="001B4F59"/>
    <w:rsid w:val="001D0C66"/>
    <w:rsid w:val="001E3207"/>
    <w:rsid w:val="001E4963"/>
    <w:rsid w:val="001E5D73"/>
    <w:rsid w:val="001F2344"/>
    <w:rsid w:val="001F27CE"/>
    <w:rsid w:val="001F2B59"/>
    <w:rsid w:val="001F2E13"/>
    <w:rsid w:val="001F408E"/>
    <w:rsid w:val="001F6753"/>
    <w:rsid w:val="00200038"/>
    <w:rsid w:val="00204172"/>
    <w:rsid w:val="0020517B"/>
    <w:rsid w:val="00212807"/>
    <w:rsid w:val="00213E2A"/>
    <w:rsid w:val="002158BF"/>
    <w:rsid w:val="00220F73"/>
    <w:rsid w:val="0022389E"/>
    <w:rsid w:val="002339E8"/>
    <w:rsid w:val="002375A3"/>
    <w:rsid w:val="002404B5"/>
    <w:rsid w:val="00245644"/>
    <w:rsid w:val="00246A98"/>
    <w:rsid w:val="00252527"/>
    <w:rsid w:val="00256F62"/>
    <w:rsid w:val="00260725"/>
    <w:rsid w:val="00263C17"/>
    <w:rsid w:val="00270408"/>
    <w:rsid w:val="0027082D"/>
    <w:rsid w:val="00271AC7"/>
    <w:rsid w:val="00275A80"/>
    <w:rsid w:val="00285F33"/>
    <w:rsid w:val="00287C1B"/>
    <w:rsid w:val="0029735F"/>
    <w:rsid w:val="002A49B0"/>
    <w:rsid w:val="002B2749"/>
    <w:rsid w:val="002B2A69"/>
    <w:rsid w:val="002B3F71"/>
    <w:rsid w:val="002C0755"/>
    <w:rsid w:val="002C0EAB"/>
    <w:rsid w:val="002C45AB"/>
    <w:rsid w:val="002D2C09"/>
    <w:rsid w:val="002D5B43"/>
    <w:rsid w:val="002D7EFC"/>
    <w:rsid w:val="002E04D7"/>
    <w:rsid w:val="002E3594"/>
    <w:rsid w:val="002E568B"/>
    <w:rsid w:val="002F0AA4"/>
    <w:rsid w:val="002F172D"/>
    <w:rsid w:val="002F29B3"/>
    <w:rsid w:val="002F623B"/>
    <w:rsid w:val="00300966"/>
    <w:rsid w:val="00311123"/>
    <w:rsid w:val="003112B7"/>
    <w:rsid w:val="00311E5F"/>
    <w:rsid w:val="00323FC2"/>
    <w:rsid w:val="00325AC3"/>
    <w:rsid w:val="00325DD1"/>
    <w:rsid w:val="00327523"/>
    <w:rsid w:val="00330A08"/>
    <w:rsid w:val="0033238E"/>
    <w:rsid w:val="00334ACF"/>
    <w:rsid w:val="0034011A"/>
    <w:rsid w:val="0034541B"/>
    <w:rsid w:val="0034678E"/>
    <w:rsid w:val="00347C24"/>
    <w:rsid w:val="00351379"/>
    <w:rsid w:val="0035219B"/>
    <w:rsid w:val="00353139"/>
    <w:rsid w:val="00355513"/>
    <w:rsid w:val="00356B59"/>
    <w:rsid w:val="00357583"/>
    <w:rsid w:val="003634A5"/>
    <w:rsid w:val="00363FD2"/>
    <w:rsid w:val="0036426E"/>
    <w:rsid w:val="00364652"/>
    <w:rsid w:val="00365933"/>
    <w:rsid w:val="003659DF"/>
    <w:rsid w:val="003670C5"/>
    <w:rsid w:val="003723C6"/>
    <w:rsid w:val="003734EF"/>
    <w:rsid w:val="0038272E"/>
    <w:rsid w:val="00397012"/>
    <w:rsid w:val="003977AC"/>
    <w:rsid w:val="003A6648"/>
    <w:rsid w:val="003A72AF"/>
    <w:rsid w:val="003A78CB"/>
    <w:rsid w:val="003B3902"/>
    <w:rsid w:val="003B3E93"/>
    <w:rsid w:val="003B50E3"/>
    <w:rsid w:val="003C0BFD"/>
    <w:rsid w:val="003C2445"/>
    <w:rsid w:val="003C2D73"/>
    <w:rsid w:val="003C34C2"/>
    <w:rsid w:val="003C5206"/>
    <w:rsid w:val="003C5365"/>
    <w:rsid w:val="003C738D"/>
    <w:rsid w:val="003C7AD4"/>
    <w:rsid w:val="003D0F52"/>
    <w:rsid w:val="003E095E"/>
    <w:rsid w:val="003E1491"/>
    <w:rsid w:val="003E3E6C"/>
    <w:rsid w:val="003E52FD"/>
    <w:rsid w:val="003E7E23"/>
    <w:rsid w:val="003F6584"/>
    <w:rsid w:val="003F73D9"/>
    <w:rsid w:val="004008A9"/>
    <w:rsid w:val="004039D9"/>
    <w:rsid w:val="00407E28"/>
    <w:rsid w:val="00410EDE"/>
    <w:rsid w:val="00413D6D"/>
    <w:rsid w:val="00420753"/>
    <w:rsid w:val="004236DD"/>
    <w:rsid w:val="0042422E"/>
    <w:rsid w:val="0043157E"/>
    <w:rsid w:val="004344FA"/>
    <w:rsid w:val="004359AB"/>
    <w:rsid w:val="00437D79"/>
    <w:rsid w:val="00437E16"/>
    <w:rsid w:val="0044189B"/>
    <w:rsid w:val="00446472"/>
    <w:rsid w:val="0045003B"/>
    <w:rsid w:val="00450464"/>
    <w:rsid w:val="0045434C"/>
    <w:rsid w:val="004545AE"/>
    <w:rsid w:val="0046091C"/>
    <w:rsid w:val="00467785"/>
    <w:rsid w:val="00467C7A"/>
    <w:rsid w:val="0047787C"/>
    <w:rsid w:val="004810A4"/>
    <w:rsid w:val="004819BD"/>
    <w:rsid w:val="0049159D"/>
    <w:rsid w:val="00491D1D"/>
    <w:rsid w:val="00495BE6"/>
    <w:rsid w:val="0049633B"/>
    <w:rsid w:val="004A73D3"/>
    <w:rsid w:val="004A7416"/>
    <w:rsid w:val="004A7C85"/>
    <w:rsid w:val="004B38F0"/>
    <w:rsid w:val="004B44AA"/>
    <w:rsid w:val="004B697A"/>
    <w:rsid w:val="004B742B"/>
    <w:rsid w:val="004C1912"/>
    <w:rsid w:val="004C34FA"/>
    <w:rsid w:val="004C37F4"/>
    <w:rsid w:val="004D06E1"/>
    <w:rsid w:val="004D3462"/>
    <w:rsid w:val="004D5E52"/>
    <w:rsid w:val="004D6E92"/>
    <w:rsid w:val="004E2744"/>
    <w:rsid w:val="004E3713"/>
    <w:rsid w:val="004E42B5"/>
    <w:rsid w:val="004E73E9"/>
    <w:rsid w:val="004F09CF"/>
    <w:rsid w:val="004F2D33"/>
    <w:rsid w:val="004F5ED2"/>
    <w:rsid w:val="004F7D11"/>
    <w:rsid w:val="005068E3"/>
    <w:rsid w:val="00507FF5"/>
    <w:rsid w:val="005100D1"/>
    <w:rsid w:val="0051236E"/>
    <w:rsid w:val="005133E0"/>
    <w:rsid w:val="00520B93"/>
    <w:rsid w:val="005236BE"/>
    <w:rsid w:val="005264A5"/>
    <w:rsid w:val="00527AD4"/>
    <w:rsid w:val="00531590"/>
    <w:rsid w:val="00535114"/>
    <w:rsid w:val="005375B0"/>
    <w:rsid w:val="00542AA8"/>
    <w:rsid w:val="005455CD"/>
    <w:rsid w:val="00545826"/>
    <w:rsid w:val="0055721B"/>
    <w:rsid w:val="00566CE3"/>
    <w:rsid w:val="00571A18"/>
    <w:rsid w:val="00587F60"/>
    <w:rsid w:val="00590A17"/>
    <w:rsid w:val="0059471B"/>
    <w:rsid w:val="005953E5"/>
    <w:rsid w:val="005A00BC"/>
    <w:rsid w:val="005A1C25"/>
    <w:rsid w:val="005A1E31"/>
    <w:rsid w:val="005A2B3C"/>
    <w:rsid w:val="005A421A"/>
    <w:rsid w:val="005A4F92"/>
    <w:rsid w:val="005A6861"/>
    <w:rsid w:val="005B7913"/>
    <w:rsid w:val="005C014F"/>
    <w:rsid w:val="005C09B5"/>
    <w:rsid w:val="005C3077"/>
    <w:rsid w:val="005C4369"/>
    <w:rsid w:val="005C5098"/>
    <w:rsid w:val="005D0829"/>
    <w:rsid w:val="005D17CC"/>
    <w:rsid w:val="005D6A41"/>
    <w:rsid w:val="005E2734"/>
    <w:rsid w:val="005E5664"/>
    <w:rsid w:val="005E707B"/>
    <w:rsid w:val="005E77E3"/>
    <w:rsid w:val="005F3A42"/>
    <w:rsid w:val="005F3D51"/>
    <w:rsid w:val="006015D7"/>
    <w:rsid w:val="0060172D"/>
    <w:rsid w:val="00603830"/>
    <w:rsid w:val="00603F78"/>
    <w:rsid w:val="00605CF4"/>
    <w:rsid w:val="00606616"/>
    <w:rsid w:val="006211A1"/>
    <w:rsid w:val="00623A60"/>
    <w:rsid w:val="00626369"/>
    <w:rsid w:val="00632B60"/>
    <w:rsid w:val="00635A10"/>
    <w:rsid w:val="00640B10"/>
    <w:rsid w:val="00642D8E"/>
    <w:rsid w:val="00646602"/>
    <w:rsid w:val="00650DE2"/>
    <w:rsid w:val="00652F37"/>
    <w:rsid w:val="00654A8C"/>
    <w:rsid w:val="00655283"/>
    <w:rsid w:val="006621CE"/>
    <w:rsid w:val="0066255A"/>
    <w:rsid w:val="00663F0C"/>
    <w:rsid w:val="00664B7F"/>
    <w:rsid w:val="00665B14"/>
    <w:rsid w:val="00670A3F"/>
    <w:rsid w:val="006845CB"/>
    <w:rsid w:val="00691334"/>
    <w:rsid w:val="00692B2D"/>
    <w:rsid w:val="006979C9"/>
    <w:rsid w:val="006A33D1"/>
    <w:rsid w:val="006A3568"/>
    <w:rsid w:val="006B0088"/>
    <w:rsid w:val="006B0946"/>
    <w:rsid w:val="006B1A7B"/>
    <w:rsid w:val="006B480C"/>
    <w:rsid w:val="006B494E"/>
    <w:rsid w:val="006C05B8"/>
    <w:rsid w:val="006C17AC"/>
    <w:rsid w:val="006D2106"/>
    <w:rsid w:val="006D21B3"/>
    <w:rsid w:val="006E0981"/>
    <w:rsid w:val="006E1CFC"/>
    <w:rsid w:val="006E2AA6"/>
    <w:rsid w:val="006E3B38"/>
    <w:rsid w:val="006E7D45"/>
    <w:rsid w:val="006F1662"/>
    <w:rsid w:val="006F708D"/>
    <w:rsid w:val="006F7180"/>
    <w:rsid w:val="00700B07"/>
    <w:rsid w:val="00701A5F"/>
    <w:rsid w:val="00704FA3"/>
    <w:rsid w:val="0071594D"/>
    <w:rsid w:val="00715ABA"/>
    <w:rsid w:val="0071701B"/>
    <w:rsid w:val="00721BFE"/>
    <w:rsid w:val="00723663"/>
    <w:rsid w:val="00727DEF"/>
    <w:rsid w:val="00730E0A"/>
    <w:rsid w:val="007330D0"/>
    <w:rsid w:val="00736196"/>
    <w:rsid w:val="00746B26"/>
    <w:rsid w:val="00747013"/>
    <w:rsid w:val="00750F8C"/>
    <w:rsid w:val="00755FBF"/>
    <w:rsid w:val="00757627"/>
    <w:rsid w:val="00760C5A"/>
    <w:rsid w:val="00760EBC"/>
    <w:rsid w:val="00761034"/>
    <w:rsid w:val="007675D9"/>
    <w:rsid w:val="00773529"/>
    <w:rsid w:val="00773719"/>
    <w:rsid w:val="00775428"/>
    <w:rsid w:val="00780EFC"/>
    <w:rsid w:val="00782929"/>
    <w:rsid w:val="00783094"/>
    <w:rsid w:val="0078657F"/>
    <w:rsid w:val="00786D01"/>
    <w:rsid w:val="00790E02"/>
    <w:rsid w:val="007940BF"/>
    <w:rsid w:val="007A2D36"/>
    <w:rsid w:val="007A68AE"/>
    <w:rsid w:val="007A7952"/>
    <w:rsid w:val="007B1490"/>
    <w:rsid w:val="007B4C52"/>
    <w:rsid w:val="007B6096"/>
    <w:rsid w:val="007B638B"/>
    <w:rsid w:val="007C195E"/>
    <w:rsid w:val="007D22A1"/>
    <w:rsid w:val="007D5AA1"/>
    <w:rsid w:val="007D6156"/>
    <w:rsid w:val="007D744F"/>
    <w:rsid w:val="007E1475"/>
    <w:rsid w:val="007E2475"/>
    <w:rsid w:val="007E3611"/>
    <w:rsid w:val="007E4645"/>
    <w:rsid w:val="007E4EC9"/>
    <w:rsid w:val="007E611D"/>
    <w:rsid w:val="007F2ABB"/>
    <w:rsid w:val="007F3751"/>
    <w:rsid w:val="00800D77"/>
    <w:rsid w:val="008053D8"/>
    <w:rsid w:val="00805864"/>
    <w:rsid w:val="00813E71"/>
    <w:rsid w:val="00820D4F"/>
    <w:rsid w:val="008246D3"/>
    <w:rsid w:val="0082787F"/>
    <w:rsid w:val="008279D2"/>
    <w:rsid w:val="00832CDB"/>
    <w:rsid w:val="008334EC"/>
    <w:rsid w:val="0083422C"/>
    <w:rsid w:val="008370EC"/>
    <w:rsid w:val="00841C26"/>
    <w:rsid w:val="008421F4"/>
    <w:rsid w:val="008466BB"/>
    <w:rsid w:val="0084749B"/>
    <w:rsid w:val="00854CFA"/>
    <w:rsid w:val="00856B50"/>
    <w:rsid w:val="00857AE9"/>
    <w:rsid w:val="0086237B"/>
    <w:rsid w:val="0086311B"/>
    <w:rsid w:val="008648AB"/>
    <w:rsid w:val="0087200D"/>
    <w:rsid w:val="00873356"/>
    <w:rsid w:val="00873D3E"/>
    <w:rsid w:val="0087606E"/>
    <w:rsid w:val="00880371"/>
    <w:rsid w:val="0088080B"/>
    <w:rsid w:val="00881F8C"/>
    <w:rsid w:val="00885E64"/>
    <w:rsid w:val="0089029A"/>
    <w:rsid w:val="008911F3"/>
    <w:rsid w:val="008915AE"/>
    <w:rsid w:val="008949AD"/>
    <w:rsid w:val="0089731F"/>
    <w:rsid w:val="00897582"/>
    <w:rsid w:val="008A0CAC"/>
    <w:rsid w:val="008A0EAD"/>
    <w:rsid w:val="008A2F51"/>
    <w:rsid w:val="008B1E0A"/>
    <w:rsid w:val="008B4BFC"/>
    <w:rsid w:val="008B7C1C"/>
    <w:rsid w:val="008C304B"/>
    <w:rsid w:val="008C56B9"/>
    <w:rsid w:val="008D228A"/>
    <w:rsid w:val="008D32C6"/>
    <w:rsid w:val="008D4410"/>
    <w:rsid w:val="008D45AD"/>
    <w:rsid w:val="008E0FB8"/>
    <w:rsid w:val="008E7075"/>
    <w:rsid w:val="008E73AD"/>
    <w:rsid w:val="008F12B9"/>
    <w:rsid w:val="008F38B5"/>
    <w:rsid w:val="008F3F72"/>
    <w:rsid w:val="008F7378"/>
    <w:rsid w:val="0090585E"/>
    <w:rsid w:val="009067F6"/>
    <w:rsid w:val="00906D22"/>
    <w:rsid w:val="0090764B"/>
    <w:rsid w:val="009102B7"/>
    <w:rsid w:val="00911156"/>
    <w:rsid w:val="009115E4"/>
    <w:rsid w:val="009141CC"/>
    <w:rsid w:val="00920560"/>
    <w:rsid w:val="00921593"/>
    <w:rsid w:val="0093453C"/>
    <w:rsid w:val="009362FE"/>
    <w:rsid w:val="00936F89"/>
    <w:rsid w:val="00940C39"/>
    <w:rsid w:val="009432CB"/>
    <w:rsid w:val="009435EF"/>
    <w:rsid w:val="00946528"/>
    <w:rsid w:val="00961278"/>
    <w:rsid w:val="00964A64"/>
    <w:rsid w:val="00967356"/>
    <w:rsid w:val="0097360D"/>
    <w:rsid w:val="00980B20"/>
    <w:rsid w:val="00981DA1"/>
    <w:rsid w:val="009834D3"/>
    <w:rsid w:val="00985286"/>
    <w:rsid w:val="0098690D"/>
    <w:rsid w:val="009869EF"/>
    <w:rsid w:val="0098715C"/>
    <w:rsid w:val="0098724B"/>
    <w:rsid w:val="00987391"/>
    <w:rsid w:val="00987A9B"/>
    <w:rsid w:val="009911C6"/>
    <w:rsid w:val="009948B4"/>
    <w:rsid w:val="009A04C7"/>
    <w:rsid w:val="009A1CA7"/>
    <w:rsid w:val="009B013E"/>
    <w:rsid w:val="009B2113"/>
    <w:rsid w:val="009B24CA"/>
    <w:rsid w:val="009B6368"/>
    <w:rsid w:val="009B7B40"/>
    <w:rsid w:val="009C0A4D"/>
    <w:rsid w:val="009C6A1F"/>
    <w:rsid w:val="009D1EA8"/>
    <w:rsid w:val="009D2179"/>
    <w:rsid w:val="009D6115"/>
    <w:rsid w:val="009D7021"/>
    <w:rsid w:val="009E2032"/>
    <w:rsid w:val="009E7795"/>
    <w:rsid w:val="009F2679"/>
    <w:rsid w:val="009F3364"/>
    <w:rsid w:val="009F5147"/>
    <w:rsid w:val="00A05E30"/>
    <w:rsid w:val="00A075AF"/>
    <w:rsid w:val="00A07BA3"/>
    <w:rsid w:val="00A1698A"/>
    <w:rsid w:val="00A2093C"/>
    <w:rsid w:val="00A26A55"/>
    <w:rsid w:val="00A2766E"/>
    <w:rsid w:val="00A27CB7"/>
    <w:rsid w:val="00A3196C"/>
    <w:rsid w:val="00A337EE"/>
    <w:rsid w:val="00A33FFC"/>
    <w:rsid w:val="00A358CF"/>
    <w:rsid w:val="00A37703"/>
    <w:rsid w:val="00A4604E"/>
    <w:rsid w:val="00A51A72"/>
    <w:rsid w:val="00A52FA9"/>
    <w:rsid w:val="00A5322E"/>
    <w:rsid w:val="00A600D0"/>
    <w:rsid w:val="00A60840"/>
    <w:rsid w:val="00A6445E"/>
    <w:rsid w:val="00A650D0"/>
    <w:rsid w:val="00A65DAE"/>
    <w:rsid w:val="00A736FF"/>
    <w:rsid w:val="00A762FC"/>
    <w:rsid w:val="00A82DD4"/>
    <w:rsid w:val="00A83AD0"/>
    <w:rsid w:val="00A854F5"/>
    <w:rsid w:val="00A9216A"/>
    <w:rsid w:val="00A94050"/>
    <w:rsid w:val="00AA2796"/>
    <w:rsid w:val="00AA5906"/>
    <w:rsid w:val="00AA5D7C"/>
    <w:rsid w:val="00AB1D34"/>
    <w:rsid w:val="00AB262E"/>
    <w:rsid w:val="00AC2E88"/>
    <w:rsid w:val="00AC6713"/>
    <w:rsid w:val="00AC6BE5"/>
    <w:rsid w:val="00AD050D"/>
    <w:rsid w:val="00AD7E8B"/>
    <w:rsid w:val="00AE15DB"/>
    <w:rsid w:val="00AE5312"/>
    <w:rsid w:val="00AE5511"/>
    <w:rsid w:val="00AF1A6B"/>
    <w:rsid w:val="00AF6330"/>
    <w:rsid w:val="00AF6679"/>
    <w:rsid w:val="00B00766"/>
    <w:rsid w:val="00B010E5"/>
    <w:rsid w:val="00B0672F"/>
    <w:rsid w:val="00B11192"/>
    <w:rsid w:val="00B20772"/>
    <w:rsid w:val="00B30341"/>
    <w:rsid w:val="00B32899"/>
    <w:rsid w:val="00B33FAA"/>
    <w:rsid w:val="00B3609D"/>
    <w:rsid w:val="00B36EFF"/>
    <w:rsid w:val="00B45E5F"/>
    <w:rsid w:val="00B46884"/>
    <w:rsid w:val="00B5072B"/>
    <w:rsid w:val="00B54767"/>
    <w:rsid w:val="00B55A96"/>
    <w:rsid w:val="00B55B19"/>
    <w:rsid w:val="00B55CEB"/>
    <w:rsid w:val="00B63F64"/>
    <w:rsid w:val="00B6512A"/>
    <w:rsid w:val="00B65CB9"/>
    <w:rsid w:val="00B70426"/>
    <w:rsid w:val="00B70DB1"/>
    <w:rsid w:val="00B739C4"/>
    <w:rsid w:val="00B76641"/>
    <w:rsid w:val="00B767F7"/>
    <w:rsid w:val="00B77C86"/>
    <w:rsid w:val="00B9491E"/>
    <w:rsid w:val="00BA223D"/>
    <w:rsid w:val="00BA4409"/>
    <w:rsid w:val="00BA490D"/>
    <w:rsid w:val="00BA4A80"/>
    <w:rsid w:val="00BA4D72"/>
    <w:rsid w:val="00BC36C4"/>
    <w:rsid w:val="00BD7791"/>
    <w:rsid w:val="00BE3EA9"/>
    <w:rsid w:val="00BF1E98"/>
    <w:rsid w:val="00BF21CD"/>
    <w:rsid w:val="00BF65E8"/>
    <w:rsid w:val="00C0113E"/>
    <w:rsid w:val="00C01E62"/>
    <w:rsid w:val="00C029CE"/>
    <w:rsid w:val="00C03D44"/>
    <w:rsid w:val="00C058C2"/>
    <w:rsid w:val="00C078C9"/>
    <w:rsid w:val="00C1098A"/>
    <w:rsid w:val="00C12E29"/>
    <w:rsid w:val="00C2052F"/>
    <w:rsid w:val="00C21D68"/>
    <w:rsid w:val="00C2402A"/>
    <w:rsid w:val="00C240CA"/>
    <w:rsid w:val="00C241DF"/>
    <w:rsid w:val="00C27EC0"/>
    <w:rsid w:val="00C35202"/>
    <w:rsid w:val="00C35A3F"/>
    <w:rsid w:val="00C40E26"/>
    <w:rsid w:val="00C40E75"/>
    <w:rsid w:val="00C4619E"/>
    <w:rsid w:val="00C46BB2"/>
    <w:rsid w:val="00C47720"/>
    <w:rsid w:val="00C51615"/>
    <w:rsid w:val="00C518E4"/>
    <w:rsid w:val="00C53EAE"/>
    <w:rsid w:val="00C55E7F"/>
    <w:rsid w:val="00C56A7C"/>
    <w:rsid w:val="00C625C4"/>
    <w:rsid w:val="00C654A0"/>
    <w:rsid w:val="00C70EB2"/>
    <w:rsid w:val="00C71934"/>
    <w:rsid w:val="00C7219C"/>
    <w:rsid w:val="00C75905"/>
    <w:rsid w:val="00C76017"/>
    <w:rsid w:val="00C81908"/>
    <w:rsid w:val="00C9100E"/>
    <w:rsid w:val="00C9578D"/>
    <w:rsid w:val="00C968F0"/>
    <w:rsid w:val="00CA0E51"/>
    <w:rsid w:val="00CA13E4"/>
    <w:rsid w:val="00CA19FE"/>
    <w:rsid w:val="00CB104D"/>
    <w:rsid w:val="00CB22E6"/>
    <w:rsid w:val="00CB4CBA"/>
    <w:rsid w:val="00CB51AD"/>
    <w:rsid w:val="00CC524F"/>
    <w:rsid w:val="00CC6BD6"/>
    <w:rsid w:val="00CD3200"/>
    <w:rsid w:val="00CD3253"/>
    <w:rsid w:val="00CD46A9"/>
    <w:rsid w:val="00CD56E9"/>
    <w:rsid w:val="00CD5E61"/>
    <w:rsid w:val="00CD651B"/>
    <w:rsid w:val="00CE033F"/>
    <w:rsid w:val="00CF0FC2"/>
    <w:rsid w:val="00CF233A"/>
    <w:rsid w:val="00CF3C5A"/>
    <w:rsid w:val="00D02DE1"/>
    <w:rsid w:val="00D042D3"/>
    <w:rsid w:val="00D072BB"/>
    <w:rsid w:val="00D116CC"/>
    <w:rsid w:val="00D12A95"/>
    <w:rsid w:val="00D17692"/>
    <w:rsid w:val="00D231C8"/>
    <w:rsid w:val="00D23A70"/>
    <w:rsid w:val="00D27B26"/>
    <w:rsid w:val="00D309C4"/>
    <w:rsid w:val="00D332C2"/>
    <w:rsid w:val="00D40C69"/>
    <w:rsid w:val="00D42E38"/>
    <w:rsid w:val="00D503AA"/>
    <w:rsid w:val="00D50B87"/>
    <w:rsid w:val="00D53203"/>
    <w:rsid w:val="00D54F4A"/>
    <w:rsid w:val="00D56663"/>
    <w:rsid w:val="00D6007D"/>
    <w:rsid w:val="00D632D1"/>
    <w:rsid w:val="00D6743A"/>
    <w:rsid w:val="00D67778"/>
    <w:rsid w:val="00D67EDE"/>
    <w:rsid w:val="00D713F0"/>
    <w:rsid w:val="00D72E4F"/>
    <w:rsid w:val="00D80E25"/>
    <w:rsid w:val="00D84A9F"/>
    <w:rsid w:val="00D85471"/>
    <w:rsid w:val="00D91EEB"/>
    <w:rsid w:val="00D933C6"/>
    <w:rsid w:val="00D942C4"/>
    <w:rsid w:val="00D95436"/>
    <w:rsid w:val="00DA3336"/>
    <w:rsid w:val="00DA41FA"/>
    <w:rsid w:val="00DB0653"/>
    <w:rsid w:val="00DB3FE9"/>
    <w:rsid w:val="00DB5169"/>
    <w:rsid w:val="00DC047A"/>
    <w:rsid w:val="00DC2D1F"/>
    <w:rsid w:val="00DC2E40"/>
    <w:rsid w:val="00DC322A"/>
    <w:rsid w:val="00DC3C00"/>
    <w:rsid w:val="00DC5FD9"/>
    <w:rsid w:val="00DD0443"/>
    <w:rsid w:val="00DD2279"/>
    <w:rsid w:val="00DD6F0B"/>
    <w:rsid w:val="00DD7CD2"/>
    <w:rsid w:val="00DE0AFD"/>
    <w:rsid w:val="00DE117C"/>
    <w:rsid w:val="00DE27C6"/>
    <w:rsid w:val="00DE3AF6"/>
    <w:rsid w:val="00DE422E"/>
    <w:rsid w:val="00DE530F"/>
    <w:rsid w:val="00DE5E1E"/>
    <w:rsid w:val="00DE5F59"/>
    <w:rsid w:val="00DE6696"/>
    <w:rsid w:val="00DF0244"/>
    <w:rsid w:val="00DF0640"/>
    <w:rsid w:val="00DF373A"/>
    <w:rsid w:val="00E01C20"/>
    <w:rsid w:val="00E059D3"/>
    <w:rsid w:val="00E06910"/>
    <w:rsid w:val="00E10E1B"/>
    <w:rsid w:val="00E160B8"/>
    <w:rsid w:val="00E16DFA"/>
    <w:rsid w:val="00E23320"/>
    <w:rsid w:val="00E24DF0"/>
    <w:rsid w:val="00E327F2"/>
    <w:rsid w:val="00E33248"/>
    <w:rsid w:val="00E33BAC"/>
    <w:rsid w:val="00E33ECE"/>
    <w:rsid w:val="00E34955"/>
    <w:rsid w:val="00E3626B"/>
    <w:rsid w:val="00E37B17"/>
    <w:rsid w:val="00E41E4D"/>
    <w:rsid w:val="00E4319E"/>
    <w:rsid w:val="00E44252"/>
    <w:rsid w:val="00E50626"/>
    <w:rsid w:val="00E54244"/>
    <w:rsid w:val="00E71E91"/>
    <w:rsid w:val="00E73B67"/>
    <w:rsid w:val="00E7756D"/>
    <w:rsid w:val="00E7790D"/>
    <w:rsid w:val="00E839B0"/>
    <w:rsid w:val="00E94494"/>
    <w:rsid w:val="00EA4BE9"/>
    <w:rsid w:val="00EB2AE3"/>
    <w:rsid w:val="00EB3E88"/>
    <w:rsid w:val="00EB6C4D"/>
    <w:rsid w:val="00EC1B1F"/>
    <w:rsid w:val="00EC3B52"/>
    <w:rsid w:val="00ED6337"/>
    <w:rsid w:val="00ED6EBD"/>
    <w:rsid w:val="00EE07DF"/>
    <w:rsid w:val="00EE4E23"/>
    <w:rsid w:val="00EF6087"/>
    <w:rsid w:val="00EF7BD6"/>
    <w:rsid w:val="00F03AA0"/>
    <w:rsid w:val="00F06370"/>
    <w:rsid w:val="00F17598"/>
    <w:rsid w:val="00F20570"/>
    <w:rsid w:val="00F21069"/>
    <w:rsid w:val="00F2168D"/>
    <w:rsid w:val="00F21C12"/>
    <w:rsid w:val="00F32082"/>
    <w:rsid w:val="00F32DF0"/>
    <w:rsid w:val="00F40573"/>
    <w:rsid w:val="00F407E0"/>
    <w:rsid w:val="00F420F0"/>
    <w:rsid w:val="00F446FE"/>
    <w:rsid w:val="00F453A9"/>
    <w:rsid w:val="00F508FD"/>
    <w:rsid w:val="00F5282E"/>
    <w:rsid w:val="00F535B7"/>
    <w:rsid w:val="00F57070"/>
    <w:rsid w:val="00F571AC"/>
    <w:rsid w:val="00F650E6"/>
    <w:rsid w:val="00F656CC"/>
    <w:rsid w:val="00F65885"/>
    <w:rsid w:val="00F67F02"/>
    <w:rsid w:val="00F70578"/>
    <w:rsid w:val="00F73A93"/>
    <w:rsid w:val="00F73D35"/>
    <w:rsid w:val="00F766D9"/>
    <w:rsid w:val="00F77EA8"/>
    <w:rsid w:val="00F8111D"/>
    <w:rsid w:val="00F829D5"/>
    <w:rsid w:val="00F86745"/>
    <w:rsid w:val="00F92040"/>
    <w:rsid w:val="00F93A4E"/>
    <w:rsid w:val="00F9597F"/>
    <w:rsid w:val="00F9775D"/>
    <w:rsid w:val="00FA6FBC"/>
    <w:rsid w:val="00FA77D4"/>
    <w:rsid w:val="00FB0A8E"/>
    <w:rsid w:val="00FB1E0C"/>
    <w:rsid w:val="00FB2501"/>
    <w:rsid w:val="00FB2A83"/>
    <w:rsid w:val="00FB4886"/>
    <w:rsid w:val="00FB5BFA"/>
    <w:rsid w:val="00FB6CED"/>
    <w:rsid w:val="00FC176D"/>
    <w:rsid w:val="00FC49EB"/>
    <w:rsid w:val="00FC7780"/>
    <w:rsid w:val="00FD132B"/>
    <w:rsid w:val="00FD16E9"/>
    <w:rsid w:val="00FD3FF8"/>
    <w:rsid w:val="00FE0140"/>
    <w:rsid w:val="00FE02BB"/>
    <w:rsid w:val="00FE12DD"/>
    <w:rsid w:val="00FF4164"/>
    <w:rsid w:val="00FF4ADE"/>
    <w:rsid w:val="010827C0"/>
    <w:rsid w:val="01EF572E"/>
    <w:rsid w:val="02073235"/>
    <w:rsid w:val="02296E30"/>
    <w:rsid w:val="025843A5"/>
    <w:rsid w:val="02637D1E"/>
    <w:rsid w:val="029F762A"/>
    <w:rsid w:val="02EA2661"/>
    <w:rsid w:val="03245AE8"/>
    <w:rsid w:val="046917C8"/>
    <w:rsid w:val="047C599F"/>
    <w:rsid w:val="048605CC"/>
    <w:rsid w:val="04DE21B6"/>
    <w:rsid w:val="050134AC"/>
    <w:rsid w:val="05416E77"/>
    <w:rsid w:val="055B3806"/>
    <w:rsid w:val="058B29B7"/>
    <w:rsid w:val="06464EB7"/>
    <w:rsid w:val="06700718"/>
    <w:rsid w:val="06BA155D"/>
    <w:rsid w:val="06FD4A88"/>
    <w:rsid w:val="072058AF"/>
    <w:rsid w:val="076B498B"/>
    <w:rsid w:val="07AE1D0E"/>
    <w:rsid w:val="090C1CD9"/>
    <w:rsid w:val="09776735"/>
    <w:rsid w:val="0A03621B"/>
    <w:rsid w:val="0AF4773A"/>
    <w:rsid w:val="0B7B2BF1"/>
    <w:rsid w:val="0CD21ED4"/>
    <w:rsid w:val="0D2B380A"/>
    <w:rsid w:val="0D37631D"/>
    <w:rsid w:val="0D466B4A"/>
    <w:rsid w:val="0D513438"/>
    <w:rsid w:val="0DD24882"/>
    <w:rsid w:val="0DE06F85"/>
    <w:rsid w:val="0E622648"/>
    <w:rsid w:val="0E7E0566"/>
    <w:rsid w:val="0E8A43F3"/>
    <w:rsid w:val="0EAE7F1E"/>
    <w:rsid w:val="0F204823"/>
    <w:rsid w:val="0F3C4FD1"/>
    <w:rsid w:val="0F734E7E"/>
    <w:rsid w:val="0FB32491"/>
    <w:rsid w:val="10CF76D1"/>
    <w:rsid w:val="110765F0"/>
    <w:rsid w:val="11FD7115"/>
    <w:rsid w:val="12CB76BD"/>
    <w:rsid w:val="14072DAB"/>
    <w:rsid w:val="14284B14"/>
    <w:rsid w:val="149C07CF"/>
    <w:rsid w:val="149F45A3"/>
    <w:rsid w:val="14F84188"/>
    <w:rsid w:val="154D2A40"/>
    <w:rsid w:val="15CE592F"/>
    <w:rsid w:val="16161345"/>
    <w:rsid w:val="16BC7298"/>
    <w:rsid w:val="16CC1F01"/>
    <w:rsid w:val="17DD3781"/>
    <w:rsid w:val="18070E65"/>
    <w:rsid w:val="180B0355"/>
    <w:rsid w:val="18270258"/>
    <w:rsid w:val="18552337"/>
    <w:rsid w:val="191E4488"/>
    <w:rsid w:val="1A671ED8"/>
    <w:rsid w:val="1AAE21D3"/>
    <w:rsid w:val="1AC508A3"/>
    <w:rsid w:val="1B162396"/>
    <w:rsid w:val="1B3819F3"/>
    <w:rsid w:val="1B412331"/>
    <w:rsid w:val="1D55480D"/>
    <w:rsid w:val="1DF708B6"/>
    <w:rsid w:val="1DFB7886"/>
    <w:rsid w:val="1E5B7F7C"/>
    <w:rsid w:val="1EAE09F3"/>
    <w:rsid w:val="1EC56ACD"/>
    <w:rsid w:val="1EF75723"/>
    <w:rsid w:val="1F5F1CED"/>
    <w:rsid w:val="1FFA6E9B"/>
    <w:rsid w:val="20254CE5"/>
    <w:rsid w:val="20517102"/>
    <w:rsid w:val="20573695"/>
    <w:rsid w:val="205DBF34"/>
    <w:rsid w:val="211A006E"/>
    <w:rsid w:val="21535FCB"/>
    <w:rsid w:val="21D95D87"/>
    <w:rsid w:val="221B003E"/>
    <w:rsid w:val="228B397D"/>
    <w:rsid w:val="229B128E"/>
    <w:rsid w:val="22E6124F"/>
    <w:rsid w:val="2393640A"/>
    <w:rsid w:val="23BD5235"/>
    <w:rsid w:val="24F37160"/>
    <w:rsid w:val="256C6F12"/>
    <w:rsid w:val="25757B75"/>
    <w:rsid w:val="25A675D6"/>
    <w:rsid w:val="25B70BD7"/>
    <w:rsid w:val="25DA3E7C"/>
    <w:rsid w:val="26236B94"/>
    <w:rsid w:val="26387CD4"/>
    <w:rsid w:val="266A5519"/>
    <w:rsid w:val="269A25D8"/>
    <w:rsid w:val="26DE2734"/>
    <w:rsid w:val="272E0923"/>
    <w:rsid w:val="274710BE"/>
    <w:rsid w:val="27C77D4E"/>
    <w:rsid w:val="286946EB"/>
    <w:rsid w:val="28DE4621"/>
    <w:rsid w:val="298A5BB9"/>
    <w:rsid w:val="2A457AEB"/>
    <w:rsid w:val="2A712066"/>
    <w:rsid w:val="2B142BAC"/>
    <w:rsid w:val="2B2F6A1F"/>
    <w:rsid w:val="2BD35390"/>
    <w:rsid w:val="2BD53DFD"/>
    <w:rsid w:val="2BD60C2E"/>
    <w:rsid w:val="2BF55220"/>
    <w:rsid w:val="2C046D45"/>
    <w:rsid w:val="2C0B6123"/>
    <w:rsid w:val="2C486861"/>
    <w:rsid w:val="2C7B094A"/>
    <w:rsid w:val="2DD815E9"/>
    <w:rsid w:val="2DEB3530"/>
    <w:rsid w:val="2E9077CD"/>
    <w:rsid w:val="2EAD4823"/>
    <w:rsid w:val="2EAF749F"/>
    <w:rsid w:val="2EDA313F"/>
    <w:rsid w:val="2F7610B9"/>
    <w:rsid w:val="2FB72630"/>
    <w:rsid w:val="2FBD63DD"/>
    <w:rsid w:val="3034687E"/>
    <w:rsid w:val="30920A31"/>
    <w:rsid w:val="30D35C44"/>
    <w:rsid w:val="314452A0"/>
    <w:rsid w:val="32582CF8"/>
    <w:rsid w:val="32755658"/>
    <w:rsid w:val="333A0650"/>
    <w:rsid w:val="340B3792"/>
    <w:rsid w:val="34C84488"/>
    <w:rsid w:val="3502780C"/>
    <w:rsid w:val="35142462"/>
    <w:rsid w:val="3530124D"/>
    <w:rsid w:val="35611EC4"/>
    <w:rsid w:val="36981DB9"/>
    <w:rsid w:val="36A857BA"/>
    <w:rsid w:val="37BFAF01"/>
    <w:rsid w:val="37DA4C08"/>
    <w:rsid w:val="37F5378E"/>
    <w:rsid w:val="38BD1B07"/>
    <w:rsid w:val="38DB29E0"/>
    <w:rsid w:val="38E3A9B8"/>
    <w:rsid w:val="39260729"/>
    <w:rsid w:val="3997E1A8"/>
    <w:rsid w:val="39E5593B"/>
    <w:rsid w:val="3A5A3C15"/>
    <w:rsid w:val="3AEA4709"/>
    <w:rsid w:val="3AFC7952"/>
    <w:rsid w:val="3B6FCC7F"/>
    <w:rsid w:val="3B954675"/>
    <w:rsid w:val="3BE90695"/>
    <w:rsid w:val="3BF21AC7"/>
    <w:rsid w:val="3C216780"/>
    <w:rsid w:val="3C357FBB"/>
    <w:rsid w:val="3CB51561"/>
    <w:rsid w:val="3CC374C0"/>
    <w:rsid w:val="3CE308EA"/>
    <w:rsid w:val="3E31650F"/>
    <w:rsid w:val="3EA46B5D"/>
    <w:rsid w:val="3EC970E4"/>
    <w:rsid w:val="3EE93B81"/>
    <w:rsid w:val="3EEFC8CF"/>
    <w:rsid w:val="3EFD6D36"/>
    <w:rsid w:val="3F7600FB"/>
    <w:rsid w:val="3F7F1FBC"/>
    <w:rsid w:val="3F930830"/>
    <w:rsid w:val="3F96178F"/>
    <w:rsid w:val="3FD648C7"/>
    <w:rsid w:val="3FDF05B5"/>
    <w:rsid w:val="41482072"/>
    <w:rsid w:val="419719C7"/>
    <w:rsid w:val="420757C4"/>
    <w:rsid w:val="427871AA"/>
    <w:rsid w:val="42984090"/>
    <w:rsid w:val="429F666D"/>
    <w:rsid w:val="43007F6E"/>
    <w:rsid w:val="432A5FEB"/>
    <w:rsid w:val="43552F8F"/>
    <w:rsid w:val="436C723C"/>
    <w:rsid w:val="443F0ADE"/>
    <w:rsid w:val="44983E14"/>
    <w:rsid w:val="44D64ED6"/>
    <w:rsid w:val="44E34E24"/>
    <w:rsid w:val="4614088C"/>
    <w:rsid w:val="46540183"/>
    <w:rsid w:val="48713109"/>
    <w:rsid w:val="4892366F"/>
    <w:rsid w:val="48D3654D"/>
    <w:rsid w:val="49481F00"/>
    <w:rsid w:val="49787384"/>
    <w:rsid w:val="49824751"/>
    <w:rsid w:val="499B5F99"/>
    <w:rsid w:val="49A5122E"/>
    <w:rsid w:val="49D2684D"/>
    <w:rsid w:val="4A3F5BE9"/>
    <w:rsid w:val="4AB30E09"/>
    <w:rsid w:val="4BA803F5"/>
    <w:rsid w:val="4BE618E1"/>
    <w:rsid w:val="4BFECABA"/>
    <w:rsid w:val="4C0468CB"/>
    <w:rsid w:val="4C0935FD"/>
    <w:rsid w:val="4C7D53DD"/>
    <w:rsid w:val="4D3A61C4"/>
    <w:rsid w:val="4D562462"/>
    <w:rsid w:val="4DB93CE6"/>
    <w:rsid w:val="4DF72F6D"/>
    <w:rsid w:val="4E231FB4"/>
    <w:rsid w:val="4E760336"/>
    <w:rsid w:val="4F7BBE1E"/>
    <w:rsid w:val="4FF29FBC"/>
    <w:rsid w:val="5007780E"/>
    <w:rsid w:val="50377AB0"/>
    <w:rsid w:val="507B4C85"/>
    <w:rsid w:val="51CF3EAB"/>
    <w:rsid w:val="520B76C5"/>
    <w:rsid w:val="525C3E87"/>
    <w:rsid w:val="525F2DE9"/>
    <w:rsid w:val="52FFD4A5"/>
    <w:rsid w:val="530C3017"/>
    <w:rsid w:val="538B6CA3"/>
    <w:rsid w:val="54256C07"/>
    <w:rsid w:val="55BB0D24"/>
    <w:rsid w:val="56027ADA"/>
    <w:rsid w:val="56293EE0"/>
    <w:rsid w:val="565250AC"/>
    <w:rsid w:val="565C10AE"/>
    <w:rsid w:val="566214A2"/>
    <w:rsid w:val="566A696C"/>
    <w:rsid w:val="56AD68BF"/>
    <w:rsid w:val="56DC2E51"/>
    <w:rsid w:val="56FD7D1F"/>
    <w:rsid w:val="57571CBA"/>
    <w:rsid w:val="593426AF"/>
    <w:rsid w:val="594C3F14"/>
    <w:rsid w:val="599B6DB6"/>
    <w:rsid w:val="59B85CA7"/>
    <w:rsid w:val="5A07278A"/>
    <w:rsid w:val="5A2C1916"/>
    <w:rsid w:val="5A4A08C9"/>
    <w:rsid w:val="5A7A1485"/>
    <w:rsid w:val="5AAE6C9E"/>
    <w:rsid w:val="5AEEA582"/>
    <w:rsid w:val="5B060C94"/>
    <w:rsid w:val="5BFF8EEA"/>
    <w:rsid w:val="5C5855A0"/>
    <w:rsid w:val="5E043EE5"/>
    <w:rsid w:val="5EAC402E"/>
    <w:rsid w:val="5EE82911"/>
    <w:rsid w:val="5F337B7D"/>
    <w:rsid w:val="5F574C34"/>
    <w:rsid w:val="5FD50C35"/>
    <w:rsid w:val="5FDDA2CE"/>
    <w:rsid w:val="603E4A2C"/>
    <w:rsid w:val="614F11DE"/>
    <w:rsid w:val="6248521C"/>
    <w:rsid w:val="627A6905"/>
    <w:rsid w:val="627E6D10"/>
    <w:rsid w:val="6299163B"/>
    <w:rsid w:val="63520CB5"/>
    <w:rsid w:val="636801AD"/>
    <w:rsid w:val="64616F3B"/>
    <w:rsid w:val="64A15589"/>
    <w:rsid w:val="64B95F10"/>
    <w:rsid w:val="64D16D8E"/>
    <w:rsid w:val="654E3963"/>
    <w:rsid w:val="65A43D18"/>
    <w:rsid w:val="661F0E5C"/>
    <w:rsid w:val="666FCD3F"/>
    <w:rsid w:val="6673696B"/>
    <w:rsid w:val="667F4902"/>
    <w:rsid w:val="66B202E7"/>
    <w:rsid w:val="67404FA6"/>
    <w:rsid w:val="67A00AFE"/>
    <w:rsid w:val="67FD0BB2"/>
    <w:rsid w:val="68541290"/>
    <w:rsid w:val="689A2A1B"/>
    <w:rsid w:val="692F2F45"/>
    <w:rsid w:val="69961435"/>
    <w:rsid w:val="69DD4F7C"/>
    <w:rsid w:val="6ADE3093"/>
    <w:rsid w:val="6B535EC4"/>
    <w:rsid w:val="6B8540F8"/>
    <w:rsid w:val="6BE6623C"/>
    <w:rsid w:val="6CEE3336"/>
    <w:rsid w:val="6D632F47"/>
    <w:rsid w:val="6DBB552F"/>
    <w:rsid w:val="6DEC3D19"/>
    <w:rsid w:val="6EC74D03"/>
    <w:rsid w:val="6F045092"/>
    <w:rsid w:val="6F1A2758"/>
    <w:rsid w:val="6F37998F"/>
    <w:rsid w:val="6FFD3A89"/>
    <w:rsid w:val="705A5392"/>
    <w:rsid w:val="70AD0575"/>
    <w:rsid w:val="70DE203F"/>
    <w:rsid w:val="713515C2"/>
    <w:rsid w:val="71ED0060"/>
    <w:rsid w:val="730D1F10"/>
    <w:rsid w:val="73812C97"/>
    <w:rsid w:val="73BE532B"/>
    <w:rsid w:val="74104710"/>
    <w:rsid w:val="742C5131"/>
    <w:rsid w:val="74FD2112"/>
    <w:rsid w:val="753F5076"/>
    <w:rsid w:val="75AE5B5F"/>
    <w:rsid w:val="75C55A4F"/>
    <w:rsid w:val="765A079C"/>
    <w:rsid w:val="76692017"/>
    <w:rsid w:val="773FD322"/>
    <w:rsid w:val="77792D07"/>
    <w:rsid w:val="779F053D"/>
    <w:rsid w:val="77E616E5"/>
    <w:rsid w:val="77F6FFAD"/>
    <w:rsid w:val="77F952C0"/>
    <w:rsid w:val="78176B3C"/>
    <w:rsid w:val="78731A3B"/>
    <w:rsid w:val="789A48B8"/>
    <w:rsid w:val="78A70F68"/>
    <w:rsid w:val="78D21D5D"/>
    <w:rsid w:val="78FE576E"/>
    <w:rsid w:val="79286575"/>
    <w:rsid w:val="792E6B3A"/>
    <w:rsid w:val="797E7A2E"/>
    <w:rsid w:val="79EBDCEA"/>
    <w:rsid w:val="79EF706B"/>
    <w:rsid w:val="7A8F7F06"/>
    <w:rsid w:val="7AC1533A"/>
    <w:rsid w:val="7AE56816"/>
    <w:rsid w:val="7B53559C"/>
    <w:rsid w:val="7BA43E85"/>
    <w:rsid w:val="7BAD447A"/>
    <w:rsid w:val="7BBF1A17"/>
    <w:rsid w:val="7BEDFEDC"/>
    <w:rsid w:val="7BFD9180"/>
    <w:rsid w:val="7C78AB75"/>
    <w:rsid w:val="7CA67789"/>
    <w:rsid w:val="7CF98402"/>
    <w:rsid w:val="7DB06B11"/>
    <w:rsid w:val="7DCDAD54"/>
    <w:rsid w:val="7DDF7235"/>
    <w:rsid w:val="7DFF3234"/>
    <w:rsid w:val="7E077C68"/>
    <w:rsid w:val="7EC63A1E"/>
    <w:rsid w:val="7F7DCD57"/>
    <w:rsid w:val="7F8B383B"/>
    <w:rsid w:val="7FE9071C"/>
    <w:rsid w:val="7FEB5CBA"/>
    <w:rsid w:val="7FF708EF"/>
    <w:rsid w:val="7FFC8E94"/>
    <w:rsid w:val="7FFE3AE7"/>
    <w:rsid w:val="7FFFA156"/>
    <w:rsid w:val="97A7FFC8"/>
    <w:rsid w:val="9E5F847D"/>
    <w:rsid w:val="9FE3854C"/>
    <w:rsid w:val="A27F41F3"/>
    <w:rsid w:val="A7CF3873"/>
    <w:rsid w:val="B7F9096C"/>
    <w:rsid w:val="BDFDEA56"/>
    <w:rsid w:val="BF8F10AC"/>
    <w:rsid w:val="CB4F60CC"/>
    <w:rsid w:val="D2BEE888"/>
    <w:rsid w:val="D4DB27B6"/>
    <w:rsid w:val="D65F3681"/>
    <w:rsid w:val="D9DD88CB"/>
    <w:rsid w:val="DBBFB4A5"/>
    <w:rsid w:val="DBFE1307"/>
    <w:rsid w:val="DF355083"/>
    <w:rsid w:val="DFC74BD7"/>
    <w:rsid w:val="DFDBA380"/>
    <w:rsid w:val="E4DFDD65"/>
    <w:rsid w:val="E9833C4D"/>
    <w:rsid w:val="ED766CE8"/>
    <w:rsid w:val="EEFFA45A"/>
    <w:rsid w:val="EF77B142"/>
    <w:rsid w:val="EF91BCE8"/>
    <w:rsid w:val="F6BB8E58"/>
    <w:rsid w:val="F7BFF210"/>
    <w:rsid w:val="F8EFB4C9"/>
    <w:rsid w:val="FA7B7143"/>
    <w:rsid w:val="FB6CE3DC"/>
    <w:rsid w:val="FBBFBF3D"/>
    <w:rsid w:val="FBDBE8B1"/>
    <w:rsid w:val="FBFBF0B0"/>
    <w:rsid w:val="FC7FCB35"/>
    <w:rsid w:val="FCFFC96E"/>
    <w:rsid w:val="FDBDA38F"/>
    <w:rsid w:val="FDE7E669"/>
    <w:rsid w:val="FE73913A"/>
    <w:rsid w:val="FE7FBE25"/>
    <w:rsid w:val="FE9395BE"/>
    <w:rsid w:val="FEBCFAE7"/>
    <w:rsid w:val="FEFF5319"/>
    <w:rsid w:val="FF67DBA8"/>
    <w:rsid w:val="FF7BDC12"/>
    <w:rsid w:val="FF7E1483"/>
    <w:rsid w:val="FFB569D3"/>
    <w:rsid w:val="FFE53FB7"/>
    <w:rsid w:val="FFEED5EC"/>
    <w:rsid w:val="FFF3772D"/>
    <w:rsid w:val="FFFA6F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unhideWhenUsed/>
    <w:qFormat/>
    <w:uiPriority w:val="99"/>
    <w:pPr>
      <w:ind w:firstLine="420" w:firstLineChars="200"/>
    </w:pPr>
  </w:style>
  <w:style w:type="paragraph" w:styleId="4">
    <w:name w:val="annotation text"/>
    <w:basedOn w:val="1"/>
    <w:link w:val="21"/>
    <w:unhideWhenUsed/>
    <w:qFormat/>
    <w:uiPriority w:val="99"/>
    <w:pPr>
      <w:jc w:val="left"/>
    </w:pPr>
  </w:style>
  <w:style w:type="paragraph" w:styleId="5">
    <w:name w:val="Body Text"/>
    <w:basedOn w:val="1"/>
    <w:link w:val="23"/>
    <w:qFormat/>
    <w:uiPriority w:val="0"/>
    <w:pPr>
      <w:spacing w:after="120" w:line="440" w:lineRule="exact"/>
    </w:pPr>
    <w:rPr>
      <w:rFonts w:eastAsia="仿宋_GB2312"/>
      <w:sz w:val="32"/>
    </w:rPr>
  </w:style>
  <w:style w:type="paragraph" w:styleId="6">
    <w:name w:val="Balloon Text"/>
    <w:basedOn w:val="1"/>
    <w:link w:val="25"/>
    <w:semiHidden/>
    <w:unhideWhenUsed/>
    <w:qFormat/>
    <w:uiPriority w:val="99"/>
    <w:rPr>
      <w:sz w:val="18"/>
      <w:szCs w:val="18"/>
    </w:rPr>
  </w:style>
  <w:style w:type="paragraph" w:styleId="7">
    <w:name w:val="footer"/>
    <w:basedOn w:val="1"/>
    <w:link w:val="1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9">
    <w:name w:val="Normal (Web)"/>
    <w:basedOn w:val="1"/>
    <w:semiHidden/>
    <w:unhideWhenUsed/>
    <w:qFormat/>
    <w:uiPriority w:val="99"/>
    <w:rPr>
      <w:sz w:val="24"/>
    </w:rPr>
  </w:style>
  <w:style w:type="paragraph" w:styleId="10">
    <w:name w:val="annotation subject"/>
    <w:basedOn w:val="4"/>
    <w:next w:val="4"/>
    <w:link w:val="22"/>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22"/>
    <w:rPr>
      <w:b/>
    </w:rPr>
  </w:style>
  <w:style w:type="character" w:styleId="15">
    <w:name w:val="annotation reference"/>
    <w:basedOn w:val="13"/>
    <w:semiHidden/>
    <w:unhideWhenUsed/>
    <w:qFormat/>
    <w:uiPriority w:val="99"/>
    <w:rPr>
      <w:sz w:val="21"/>
      <w:szCs w:val="21"/>
    </w:rPr>
  </w:style>
  <w:style w:type="character" w:customStyle="1" w:styleId="16">
    <w:name w:val="页眉 Char"/>
    <w:basedOn w:val="13"/>
    <w:link w:val="8"/>
    <w:qFormat/>
    <w:uiPriority w:val="99"/>
    <w:rPr>
      <w:sz w:val="18"/>
      <w:szCs w:val="18"/>
    </w:rPr>
  </w:style>
  <w:style w:type="character" w:customStyle="1" w:styleId="17">
    <w:name w:val="页脚 Char"/>
    <w:basedOn w:val="13"/>
    <w:link w:val="7"/>
    <w:qFormat/>
    <w:uiPriority w:val="99"/>
    <w:rPr>
      <w:sz w:val="18"/>
      <w:szCs w:val="18"/>
    </w:rPr>
  </w:style>
  <w:style w:type="paragraph" w:styleId="18">
    <w:name w:val="List Paragraph"/>
    <w:basedOn w:val="1"/>
    <w:qFormat/>
    <w:uiPriority w:val="34"/>
    <w:pPr>
      <w:ind w:firstLine="420" w:firstLineChars="200"/>
    </w:pPr>
  </w:style>
  <w:style w:type="paragraph" w:customStyle="1" w:styleId="19">
    <w:name w:val="修订1"/>
    <w:semiHidden/>
    <w:qFormat/>
    <w:uiPriority w:val="99"/>
    <w:rPr>
      <w:rFonts w:ascii="Times New Roman" w:hAnsi="Times New Roman" w:eastAsia="宋体" w:cs="Times New Roman"/>
      <w:kern w:val="2"/>
      <w:sz w:val="21"/>
      <w:szCs w:val="24"/>
      <w:lang w:val="en-US" w:eastAsia="zh-CN" w:bidi="ar-SA"/>
    </w:rPr>
  </w:style>
  <w:style w:type="character" w:customStyle="1" w:styleId="20">
    <w:name w:val="NormalCharacter"/>
    <w:semiHidden/>
    <w:qFormat/>
    <w:uiPriority w:val="0"/>
  </w:style>
  <w:style w:type="character" w:customStyle="1" w:styleId="21">
    <w:name w:val="批注文字 Char"/>
    <w:basedOn w:val="13"/>
    <w:link w:val="4"/>
    <w:qFormat/>
    <w:uiPriority w:val="99"/>
    <w:rPr>
      <w:rFonts w:ascii="Times New Roman" w:hAnsi="Times New Roman" w:eastAsia="宋体" w:cs="Times New Roman"/>
      <w:szCs w:val="24"/>
    </w:rPr>
  </w:style>
  <w:style w:type="character" w:customStyle="1" w:styleId="22">
    <w:name w:val="批注主题 Char"/>
    <w:basedOn w:val="21"/>
    <w:link w:val="10"/>
    <w:semiHidden/>
    <w:qFormat/>
    <w:uiPriority w:val="99"/>
    <w:rPr>
      <w:rFonts w:ascii="Times New Roman" w:hAnsi="Times New Roman" w:eastAsia="宋体" w:cs="Times New Roman"/>
      <w:b/>
      <w:bCs/>
      <w:szCs w:val="24"/>
    </w:rPr>
  </w:style>
  <w:style w:type="character" w:customStyle="1" w:styleId="23">
    <w:name w:val="正文文本 Char"/>
    <w:basedOn w:val="13"/>
    <w:link w:val="5"/>
    <w:qFormat/>
    <w:uiPriority w:val="0"/>
    <w:rPr>
      <w:rFonts w:hint="eastAsia" w:ascii="仿宋_GB2312" w:eastAsia="仿宋_GB2312" w:cs="仿宋_GB2312"/>
      <w:kern w:val="2"/>
      <w:sz w:val="32"/>
      <w:szCs w:val="24"/>
    </w:rPr>
  </w:style>
  <w:style w:type="character" w:customStyle="1" w:styleId="24">
    <w:name w:val="font11"/>
    <w:basedOn w:val="13"/>
    <w:qFormat/>
    <w:uiPriority w:val="0"/>
    <w:rPr>
      <w:rFonts w:hint="eastAsia" w:ascii="宋体" w:hAnsi="宋体" w:eastAsia="宋体" w:cs="宋体"/>
      <w:color w:val="000000"/>
      <w:sz w:val="18"/>
      <w:szCs w:val="18"/>
      <w:u w:val="none"/>
    </w:rPr>
  </w:style>
  <w:style w:type="character" w:customStyle="1" w:styleId="25">
    <w:name w:val="批注框文本 Char"/>
    <w:basedOn w:val="13"/>
    <w:link w:val="6"/>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true">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5270</Words>
  <Characters>5488</Characters>
  <Lines>39</Lines>
  <Paragraphs>11</Paragraphs>
  <TotalTime>7</TotalTime>
  <ScaleCrop>false</ScaleCrop>
  <LinksUpToDate>false</LinksUpToDate>
  <CharactersWithSpaces>5488</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2024-05-16T17:34:00Z</dcterms:created>
  <dc:creator>王 海龙</dc:creator>
  <cp:lastModifiedBy>user</cp:lastModifiedBy>
  <cp:lastPrinted>2024-04-26T09:35:00Z</cp:lastPrinted>
  <dcterms:modified xsi:type="dcterms:W3CDTF">2024-08-12T18:18:14Z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FBC9A77E77DF4A448907A130DDDF1B94_13</vt:lpwstr>
  </property>
</Properties>
</file>