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1586" w:firstLineChars="395"/>
        <w:jc w:val="both"/>
        <w:rPr>
          <w:rFonts w:ascii="宋体" w:hAnsi="宋体" w:eastAsia="宋体" w:cs="宋体"/>
          <w:b/>
          <w:bCs/>
          <w:color w:val="000000"/>
          <w:sz w:val="40"/>
          <w:szCs w:val="40"/>
        </w:rPr>
      </w:pPr>
      <w:bookmarkStart w:id="0" w:name="_Toc11252871"/>
      <w:bookmarkStart w:id="1" w:name="_Toc23912"/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审查专用设备采购项目</w:t>
      </w:r>
    </w:p>
    <w:p>
      <w:pPr>
        <w:pStyle w:val="3"/>
        <w:ind w:firstLine="1782" w:firstLineChars="444"/>
        <w:jc w:val="both"/>
        <w:rPr>
          <w:rFonts w:ascii="宋体" w:hAnsi="宋体" w:eastAsia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招标内容及技术要求</w:t>
      </w:r>
      <w:bookmarkEnd w:id="0"/>
      <w:bookmarkEnd w:id="1"/>
      <w:bookmarkStart w:id="2" w:name="_Toc513551135"/>
    </w:p>
    <w:p>
      <w:pPr>
        <w:pStyle w:val="3"/>
        <w:jc w:val="both"/>
        <w:rPr>
          <w:rFonts w:ascii="宋体" w:hAnsi="宋体" w:eastAsia="宋体" w:cs="宋体"/>
          <w:b/>
          <w:bCs/>
          <w:color w:val="000000"/>
        </w:rPr>
      </w:pPr>
    </w:p>
    <w:p>
      <w:pPr>
        <w:pStyle w:val="3"/>
        <w:jc w:val="both"/>
        <w:rPr>
          <w:rFonts w:ascii="宋体" w:hAnsi="宋体" w:eastAsia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</w:rPr>
        <w:t>一、项目清单及技术参数要求</w:t>
      </w:r>
    </w:p>
    <w:tbl>
      <w:tblPr>
        <w:tblStyle w:val="8"/>
        <w:tblW w:w="8769" w:type="dxa"/>
        <w:tblInd w:w="-2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599"/>
        <w:gridCol w:w="840"/>
        <w:gridCol w:w="664"/>
        <w:gridCol w:w="5031"/>
      </w:tblGrid>
      <w:tr>
        <w:trPr>
          <w:trHeight w:val="4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计量单位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技术指标要求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超高清4K媒体播放服务器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1、标准4u机架机箱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2、内存不低于64GB， AMD CPU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3、硬盘装机容量4TB（NVME M.2 SSD RAID系统 读取速度9500MB/s）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4、双网口（1G&amp;10G）内置无线网卡，内置蓝牙接收器                                         5、5、支持4路4K  60Hz视频输出                                                                 6、专业显卡，正版软件windows10专业版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超高清4K透声幕布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1、微孔透声                                                                                 2.尺寸：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2.2*5.66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米                                                                       3、包含安装框架</w:t>
            </w:r>
          </w:p>
        </w:tc>
      </w:tr>
      <w:tr>
        <w:trPr>
          <w:trHeight w:val="33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投影机支架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与专业投影机配套</w:t>
            </w:r>
          </w:p>
        </w:tc>
      </w:tr>
      <w:tr>
        <w:trPr>
          <w:trHeight w:val="5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超高清4K线材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7" name="Picture_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_1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6" name="Picture_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_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23" name="Picture_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_1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1、超高清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 xml:space="preserve">4K HDMI,DVI 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电缆一套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 xml:space="preserve">                                                                                       2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、满足系统使用并留有备份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二分频主音箱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8" name="Picture_15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15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9" name="Picture_15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15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5" name="Picture_15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15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0" name="Picture_15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15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25" name="Picture_15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_15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1" name="Picture_15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15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1、二分频主音箱，影院级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2、频率响应：不劣于40Hz--18kHz（±3dB）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3、最大声压级：不低于127dB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4、功率：不低于400W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5、低音单元：不小于2x15”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6、指向性：水平90ᵒ，垂直-30ᵒ，+20ᵒ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超低音音箱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4450"/>
                  <wp:effectExtent l="0" t="0" r="0" b="0"/>
                  <wp:wrapNone/>
                  <wp:docPr id="12" name="Picture_15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15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4450"/>
                  <wp:effectExtent l="0" t="0" r="0" b="0"/>
                  <wp:wrapNone/>
                  <wp:docPr id="5" name="Picture_15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15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4450"/>
                  <wp:effectExtent l="0" t="0" r="0" b="0"/>
                  <wp:wrapNone/>
                  <wp:docPr id="3" name="Picture_15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15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1、超低音箱，影院级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、频率响应：不劣于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22 Hz - 100 Hz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（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±3dB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）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3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、最大声压级：不低于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131dB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4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、功率：不低于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1200W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5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、低音单元：不小于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2x18”</w:t>
            </w:r>
          </w:p>
        </w:tc>
      </w:tr>
      <w:tr>
        <w:trPr>
          <w:trHeight w:val="5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主音箱及低音音箱支架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3" name="Picture_15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15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4" name="Picture_15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15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7" name="Picture_15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15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与二分频主音箱与超低音音箱配套</w:t>
            </w:r>
          </w:p>
        </w:tc>
      </w:tr>
      <w:tr>
        <w:trPr>
          <w:trHeight w:val="163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二分频环绕音箱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19" name="Picture_15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157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21" name="Picture_15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_1574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24" name="Picture_15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_1575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1、二分频环绕音箱，影院级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、频率响应：不劣于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75Hz--18kHz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（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±3dB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）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3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、最大声压级：不低于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125dB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4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、功率：不低于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350W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5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、低音单元：不小于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1x10”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6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、指向性：水平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110ᵒ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，垂直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60ᵒ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二分频音箱墙挂架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6" name="Picture_15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15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26" name="Picture_15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_15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18" name="Picture_15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15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配合二分频环绕音箱使用，坚固可靠耐用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专业配套功放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4" name="Picture_15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1575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20" name="Picture_15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1574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22" name="Picture_15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1573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27" name="Picture_15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1575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1" name="Picture_15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157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6355"/>
                  <wp:effectExtent l="0" t="0" r="0" b="0"/>
                  <wp:wrapNone/>
                  <wp:docPr id="2" name="Picture_15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1574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1、双通道功率放大器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、内置影院音箱预置参数，可快捷调用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3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、内置DSP数字处理器，含分频、均衡、延时、限幅等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4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、功率不低于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2x800W@4</w:t>
            </w:r>
            <w:r>
              <w:rPr>
                <w:rStyle w:val="15"/>
                <w:rFonts w:hint="eastAsia" w:ascii="宋体" w:hAnsi="宋体" w:cs="宋体"/>
                <w:sz w:val="21"/>
                <w:szCs w:val="21"/>
                <w:lang w:bidi="ar"/>
              </w:rPr>
              <w:t>Ω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5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、带有USB接口，可通过"HiQnet"软件对功放进行设置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bidi="ar"/>
              </w:rPr>
              <w:t>6</w:t>
            </w:r>
            <w:r>
              <w:rPr>
                <w:rStyle w:val="14"/>
                <w:rFonts w:hint="default"/>
                <w:sz w:val="21"/>
                <w:szCs w:val="21"/>
                <w:lang w:bidi="ar"/>
              </w:rPr>
              <w:t>、符合THX认证</w:t>
            </w:r>
          </w:p>
        </w:tc>
      </w:tr>
      <w:tr>
        <w:trPr>
          <w:trHeight w:val="227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全景声解码器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1910"/>
                  <wp:effectExtent l="0" t="0" r="0" b="0"/>
                  <wp:wrapNone/>
                  <wp:docPr id="29" name="Picture_15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_15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1910"/>
                  <wp:effectExtent l="0" t="0" r="0" b="0"/>
                  <wp:wrapNone/>
                  <wp:docPr id="28" name="Picture_15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_15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1910"/>
                  <wp:effectExtent l="0" t="0" r="0" b="0"/>
                  <wp:wrapNone/>
                  <wp:docPr id="32" name="Picture_15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_15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1910"/>
                  <wp:effectExtent l="0" t="0" r="0" b="0"/>
                  <wp:wrapNone/>
                  <wp:docPr id="35" name="Picture_15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_15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1910"/>
                  <wp:effectExtent l="0" t="0" r="0" b="0"/>
                  <wp:wrapNone/>
                  <wp:docPr id="40" name="Picture_15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15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1910"/>
                  <wp:effectExtent l="0" t="0" r="0" b="0"/>
                  <wp:wrapNone/>
                  <wp:docPr id="33" name="Picture_15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15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1、支持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13.2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声道处理功能，带配合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15.2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声道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XLR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平衡输出的高端数字解码器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、采用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Dolby Atmos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（高达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7.1.6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或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9.1.4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）、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DTS:X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或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Auro-3D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（高达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13.1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）等最新环绕声格式的沉浸式三维立体声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3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、所有声道都配备高性能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192kHz / 32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位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D/A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转换器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4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 xml:space="preserve">Audyssey MultEQ XT32, LFC, Sub EQ HT, Dynamic Volume 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和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 xml:space="preserve"> DynamicEQ 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提供均衡调整以适合您的聆听环境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5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、内置蓝牙和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Wi-Fi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支持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2.4GHz/5GHz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双带宽提供更好的网络稳定性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6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、使用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HEOS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无线音乐串流技术和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HEOS App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7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4K/60 Hz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全速率直通、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4:4:4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彩色分辨率、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HDR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BT.2020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Dolby Vision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和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HLG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（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Hybrid Log Gamma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）直通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8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、八个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HDMI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输入，支持全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HDCP 2.2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，外加三个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HDMI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输出（分区），以及适合数字设备的大量输入端口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8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、通过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HEOS App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，从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AirPlay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、蓝牙、网络收音机、流媒串流音乐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10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、通过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DSD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（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2.8/5.6MHz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）、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FLAC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ALAC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和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WAV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支持网络音乐串流，确保高解析度</w:t>
            </w:r>
          </w:p>
        </w:tc>
      </w:tr>
      <w:tr>
        <w:trPr>
          <w:trHeight w:val="295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42U机柜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36" name="Picture_15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_15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47" name="Picture_15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15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45" name="Picture_15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15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机架可安装设备深度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810mm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（至少有一个机柜是加深机柜）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2.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绑线排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3.19"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标准机柜后门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4.19"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标准机柜立式电源盒，带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16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孔电源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5.19"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标准机柜侧板（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1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对）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6.19"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标准机柜托架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7.19“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机柜配件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8.19"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平托板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9. 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盲板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10.19"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滑轨平托板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11.19"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键盘抽屉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操作台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42" name="Picture_15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15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46" name="Picture_15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15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37" name="Picture_15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_15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38" name="Picture_15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_15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34" name="Picture_15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15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5720"/>
                  <wp:effectExtent l="0" t="0" r="0" b="0"/>
                  <wp:wrapNone/>
                  <wp:docPr id="39" name="Picture_15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15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控制台下架前门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2.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控制台下架后门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3.19"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控制台横式电源盒，带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6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孔电源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4.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控制台底座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>5.19"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控制台设备安装平托板</w:t>
            </w:r>
            <w:r>
              <w:rPr>
                <w:rStyle w:val="11"/>
                <w:rFonts w:hint="eastAsia" w:ascii="宋体" w:hAnsi="宋体" w:cs="宋体"/>
                <w:sz w:val="21"/>
                <w:szCs w:val="21"/>
                <w:lang w:bidi="ar"/>
              </w:rPr>
              <w:t xml:space="preserve">                                                                                                       6.19"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控制台接口板。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时序电源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3180"/>
                  <wp:effectExtent l="0" t="0" r="0" b="0"/>
                  <wp:wrapNone/>
                  <wp:docPr id="41" name="Picture_15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15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3180"/>
                  <wp:effectExtent l="0" t="0" r="0" b="0"/>
                  <wp:wrapNone/>
                  <wp:docPr id="43" name="Picture_15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15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3180"/>
                  <wp:effectExtent l="0" t="0" r="0" b="0"/>
                  <wp:wrapNone/>
                  <wp:docPr id="44" name="Picture_15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_15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3180"/>
                  <wp:effectExtent l="0" t="0" r="0" b="0"/>
                  <wp:wrapNone/>
                  <wp:docPr id="48" name="Picture_15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15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3180"/>
                  <wp:effectExtent l="0" t="0" r="0" b="0"/>
                  <wp:wrapNone/>
                  <wp:docPr id="30" name="Picture_15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_15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3180"/>
                  <wp:effectExtent l="0" t="0" r="0" b="0"/>
                  <wp:wrapNone/>
                  <wp:docPr id="31" name="Picture_15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_15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寸彩色液晶智能显示屏，可实时显示当前电压，日期时间，通道开关状态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8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路开关通道输出，每路延时开户和关闭时间可自由设置（范围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0-999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秒）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3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、每通道独立设有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Bypass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设置，可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ALL Bypass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或单独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Bypass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4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、支持面板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LOCK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锁定功能，防止误操作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5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、内置时钟芯片，可根据日期时间定时设置自动开关机，智能化不须人为操作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6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、配置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232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接口，支持外部中控设备控制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7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、每台设备自带设备编码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ID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检测和设置，可实现远程集中控制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8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10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组设备开关场景数据保存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/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调用，场景管理应用简单便捷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9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、欠压、超压检测及报警，带滤波功能。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10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、可控制电源：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8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路外加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路输出辅助通道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11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、单路额定输出电流：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13A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12</w:t>
            </w:r>
            <w:r>
              <w:rPr>
                <w:rStyle w:val="17"/>
                <w:rFonts w:hint="default"/>
                <w:sz w:val="21"/>
                <w:szCs w:val="21"/>
                <w:lang w:bidi="ar"/>
              </w:rPr>
              <w:t>、额定总输出电流：</w:t>
            </w: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30A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其它音频电缆接头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视频音频电缆，接头，所有电缆接头指标达到国家广播电视标准甲级指标</w:t>
            </w:r>
          </w:p>
        </w:tc>
      </w:tr>
      <w:tr>
        <w:trPr>
          <w:trHeight w:val="56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机柜内部连接辅料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机柜内部设备连接所需辅料，其它电缆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系统集成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17"/>
                <w:rFonts w:hint="default"/>
                <w:sz w:val="21"/>
                <w:szCs w:val="21"/>
                <w:lang w:bidi="ar"/>
              </w:rPr>
            </w:pPr>
            <w:r>
              <w:rPr>
                <w:rStyle w:val="17"/>
                <w:rFonts w:hint="default"/>
                <w:sz w:val="21"/>
                <w:szCs w:val="21"/>
                <w:lang w:bidi="ar"/>
              </w:rPr>
              <w:t>系统安装调试培训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ascii="宋体" w:hAnsi="宋体" w:cs="宋体"/>
                <w:sz w:val="21"/>
                <w:szCs w:val="21"/>
                <w:lang w:bidi="ar"/>
              </w:rPr>
            </w:pP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2、提供经过声学计算的音箱安装位置图纸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 xml:space="preserve">3、提供系统连接图纸                                                                                                                      </w:t>
            </w:r>
            <w:bookmarkStart w:id="3" w:name="_GoBack"/>
            <w:bookmarkEnd w:id="3"/>
          </w:p>
        </w:tc>
      </w:tr>
    </w:tbl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pStyle w:val="3"/>
        <w:spacing w:line="360" w:lineRule="auto"/>
        <w:jc w:val="both"/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二、服务要求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1.质保期：至少1年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2.交付期：合同签订后20日内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3.成交供应商提供全部设备必须是原厂原装合法渠道的全新正品，产品质量符合国家相关标准及安全规范，且所有设备需完全满足或优于响应文件所述规格。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投标报价应为人民币含税全包价，包括项目工程全部器材及配件购置、设计安装、系统集成所需线材、随配附件、保险费、货物运输费、安装、调试费、管理费、设备检测费、协助费、培训费、符合国家标准的安装附件、雇员费用、合同实施过程中应预见和不可预见费用等所有费用。供应商的投标报价必须成套和完整，在需求中未列明但属于设备运行的所需配件必须一并投报。如果在安装运行过程中发现有缺项漏项，且又是设备正常运行所必要的，供应商必须无偿提供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5.售后服务：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(1)在质保期内，如果软、硬件发生故障，供应商必须承诺应以优良的服务态度，便利、快捷的方式在</w:t>
      </w:r>
      <w:r>
        <w:rPr>
          <w:rFonts w:hint="eastAsia" w:ascii="宋体" w:hAnsi="宋体"/>
          <w:sz w:val="24"/>
          <w:u w:val="single"/>
        </w:rPr>
        <w:t xml:space="preserve"> 2 </w:t>
      </w:r>
      <w:r>
        <w:rPr>
          <w:rFonts w:hint="eastAsia" w:ascii="宋体" w:hAnsi="宋体"/>
          <w:sz w:val="24"/>
        </w:rPr>
        <w:t>小时响应，</w:t>
      </w:r>
      <w:r>
        <w:rPr>
          <w:rFonts w:hint="eastAsia" w:ascii="宋体" w:hAnsi="宋体"/>
          <w:sz w:val="24"/>
          <w:u w:val="single"/>
        </w:rPr>
        <w:t xml:space="preserve"> 4 </w:t>
      </w:r>
      <w:r>
        <w:rPr>
          <w:rFonts w:hint="eastAsia" w:ascii="宋体" w:hAnsi="宋体"/>
          <w:sz w:val="24"/>
        </w:rPr>
        <w:t>小时到达现场，</w:t>
      </w:r>
      <w:r>
        <w:rPr>
          <w:rFonts w:hint="eastAsia" w:ascii="宋体" w:hAnsi="宋体"/>
          <w:sz w:val="24"/>
          <w:u w:val="single"/>
        </w:rPr>
        <w:t xml:space="preserve"> 8 </w:t>
      </w:r>
      <w:r>
        <w:rPr>
          <w:rFonts w:hint="eastAsia" w:ascii="宋体" w:hAnsi="宋体"/>
          <w:sz w:val="24"/>
        </w:rPr>
        <w:t>小时内解决使用单位提出的维修要求。需更换零部件的，无法在8小时内解决的，应在2个工作日内提供备用产品，使用户能正常使用。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(2)提供终身维修（护）、终身技术服务和技术支持，承诺长期优惠供应配件和耗材。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(3)提供免费上门服务，免费进行培训，免费提供培训资料，以及货物生产厂家承诺及其它额外另行附加的售后服务内容</w:t>
      </w:r>
      <w:bookmarkEnd w:id="2"/>
      <w:r>
        <w:rPr>
          <w:rFonts w:hint="eastAsia" w:ascii="宋体" w:hAnsi="宋体"/>
          <w:sz w:val="24"/>
        </w:rPr>
        <w:t>。</w:t>
      </w:r>
    </w:p>
    <w:p>
      <w:pPr>
        <w:rPr>
          <w:rFonts w:ascii="仿宋" w:hAnsi="仿宋" w:eastAsia="仿宋" w:cs="仿宋"/>
          <w:b/>
          <w:color w:val="FF000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EC74D"/>
    <w:multiLevelType w:val="singleLevel"/>
    <w:tmpl w:val="CDAEC7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4B7B4F5A"/>
    <w:rsid w:val="000436AE"/>
    <w:rsid w:val="005A65BD"/>
    <w:rsid w:val="00610ED0"/>
    <w:rsid w:val="007D3ACD"/>
    <w:rsid w:val="00AF51E1"/>
    <w:rsid w:val="00E0466D"/>
    <w:rsid w:val="00F82AA0"/>
    <w:rsid w:val="016320EC"/>
    <w:rsid w:val="022C0730"/>
    <w:rsid w:val="054E6232"/>
    <w:rsid w:val="0E6354DA"/>
    <w:rsid w:val="18502F73"/>
    <w:rsid w:val="24BB5C18"/>
    <w:rsid w:val="2C2E754D"/>
    <w:rsid w:val="37DE290A"/>
    <w:rsid w:val="38A87E0A"/>
    <w:rsid w:val="47633879"/>
    <w:rsid w:val="4B7B4F5A"/>
    <w:rsid w:val="4DAB1AD6"/>
    <w:rsid w:val="731E2075"/>
    <w:rsid w:val="E36FC996"/>
    <w:rsid w:val="FB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widowControl/>
      <w:jc w:val="center"/>
      <w:outlineLvl w:val="0"/>
    </w:pPr>
    <w:rPr>
      <w:rFonts w:ascii="黑体" w:eastAsia="黑体"/>
      <w:sz w:val="24"/>
      <w:szCs w:val="2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font12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6">
    <w:name w:val="font11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9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495</Words>
  <Characters>2826</Characters>
  <Lines>23</Lines>
  <Paragraphs>6</Paragraphs>
  <TotalTime>37</TotalTime>
  <ScaleCrop>false</ScaleCrop>
  <LinksUpToDate>false</LinksUpToDate>
  <CharactersWithSpaces>3315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2020-12-09T21:42:00Z</dcterms:created>
  <dc:creator>吴慎</dc:creator>
  <cp:lastModifiedBy>user</cp:lastModifiedBy>
  <dcterms:modified xsi:type="dcterms:W3CDTF">2023-01-17T10:23:08Z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8A5DEA960A9C4AD0B742B98788A810A5</vt:lpwstr>
  </property>
</Properties>
</file>