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8A" w:rsidRPr="00DB7C74" w:rsidRDefault="006F4D8A" w:rsidP="006F4D8A">
      <w:pPr>
        <w:widowControl/>
        <w:jc w:val="left"/>
        <w:rPr>
          <w:rFonts w:ascii="黑体" w:eastAsia="黑体"/>
          <w:color w:val="000000" w:themeColor="text1"/>
          <w:sz w:val="32"/>
        </w:rPr>
      </w:pPr>
      <w:bookmarkStart w:id="0" w:name="_GoBack"/>
      <w:r w:rsidRPr="00DB7C74">
        <w:rPr>
          <w:rFonts w:ascii="黑体" w:eastAsia="黑体" w:hint="eastAsia"/>
          <w:color w:val="000000" w:themeColor="text1"/>
          <w:sz w:val="32"/>
        </w:rPr>
        <w:t>北京市财政局 北京市新闻出版广电局 北京市地方税务局关于地方税务部门代收国家电影事业发展专项资金的通知</w:t>
      </w:r>
    </w:p>
    <w:p w:rsidR="00363F86" w:rsidRPr="00DB7C74" w:rsidRDefault="00363F86" w:rsidP="00363F86">
      <w:pPr>
        <w:widowControl/>
        <w:spacing w:line="375" w:lineRule="atLeast"/>
        <w:jc w:val="center"/>
        <w:rPr>
          <w:rFonts w:ascii="宋体" w:hAnsi="宋体" w:cs="宋体"/>
          <w:color w:val="000000" w:themeColor="text1"/>
          <w:kern w:val="0"/>
          <w:szCs w:val="21"/>
        </w:rPr>
      </w:pPr>
      <w:r w:rsidRPr="00DB7C74">
        <w:rPr>
          <w:rFonts w:ascii="宋体" w:hAnsi="宋体" w:cs="宋体" w:hint="eastAsia"/>
          <w:color w:val="000000" w:themeColor="text1"/>
          <w:kern w:val="0"/>
          <w:szCs w:val="21"/>
        </w:rPr>
        <w:t>京财综〔2017〕1902号</w:t>
      </w:r>
    </w:p>
    <w:p w:rsidR="00437AE8" w:rsidRPr="00DB7C74" w:rsidRDefault="00437AE8" w:rsidP="00AD5DDF">
      <w:pPr>
        <w:widowControl/>
        <w:spacing w:line="375" w:lineRule="atLeast"/>
        <w:jc w:val="left"/>
        <w:rPr>
          <w:rFonts w:ascii="宋体" w:hAnsi="宋体" w:cs="宋体"/>
          <w:color w:val="000000" w:themeColor="text1"/>
          <w:kern w:val="0"/>
          <w:sz w:val="24"/>
        </w:rPr>
      </w:pP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各有关单位：</w:t>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 xml:space="preserve">　　自2017年10月1日起，由北京市地方税务局代收全市国家电影事业发展专项资金(以下简称电影专项资金)，现就有关事项通知如下，请依照执行。</w:t>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 xml:space="preserve">　　一、代收范围：在本市行政区域内，由经营性电影放映单位按规定应缴纳的电影专项资金。</w:t>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 xml:space="preserve">　　二、代收时间：自2017年10月1日起。</w:t>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 xml:space="preserve">　　三、代收地点：为方便缴费单位，国家电影事业发展专项资金缴费实行全市通办，具体代收地点为各区地税局综合办税服务厅(具体地点见附件)。若代收地点发生变化，由市地税局在地税外网(网址www.tax861.gov.cn)进行公布。</w:t>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 xml:space="preserve">　　四、收费标准：按照《财政部国家新闻出版广电总局关于印发&lt;国家电影事业发展专项资金征收使用管理办法〉的通知》(财税〔2015〕91号)文件规定执行。</w:t>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 xml:space="preserve">　　五、办理方式：北京市经营性电影放映单位应于每月3-5日(节假日顺延)，持本单位营业执照复印件至各区地税局综合办税服务厅领取《北京市非税收入一般缴款书》，每月8日前完成电影专项资金缴纳事宜。</w:t>
      </w:r>
    </w:p>
    <w:p w:rsidR="00AD5DDF" w:rsidRPr="00DB7C74" w:rsidRDefault="00AD5DDF" w:rsidP="00437AE8">
      <w:pPr>
        <w:widowControl/>
        <w:spacing w:line="375" w:lineRule="atLeast"/>
        <w:ind w:firstLine="480"/>
        <w:jc w:val="left"/>
        <w:rPr>
          <w:rFonts w:ascii="宋体" w:hAnsi="宋体" w:cs="宋体"/>
          <w:color w:val="000000" w:themeColor="text1"/>
          <w:kern w:val="0"/>
          <w:sz w:val="24"/>
        </w:rPr>
      </w:pPr>
      <w:r w:rsidRPr="00DB7C74">
        <w:rPr>
          <w:rFonts w:ascii="宋体" w:hAnsi="宋体" w:cs="宋体" w:hint="eastAsia"/>
          <w:color w:val="000000" w:themeColor="text1"/>
          <w:kern w:val="0"/>
          <w:sz w:val="24"/>
        </w:rPr>
        <w:t>六、本通知自2017年10月1日起执行。</w:t>
      </w:r>
    </w:p>
    <w:p w:rsidR="00437AE8" w:rsidRPr="00DB7C74" w:rsidRDefault="00437AE8" w:rsidP="00437AE8">
      <w:pPr>
        <w:widowControl/>
        <w:spacing w:line="375" w:lineRule="atLeast"/>
        <w:ind w:firstLine="480"/>
        <w:jc w:val="left"/>
        <w:rPr>
          <w:rFonts w:ascii="宋体" w:hAnsi="宋体" w:cs="宋体"/>
          <w:color w:val="000000" w:themeColor="text1"/>
          <w:kern w:val="0"/>
          <w:sz w:val="24"/>
        </w:rPr>
      </w:pPr>
    </w:p>
    <w:p w:rsidR="00437AE8" w:rsidRPr="00DB7C74" w:rsidRDefault="00437AE8" w:rsidP="00437AE8">
      <w:pPr>
        <w:widowControl/>
        <w:spacing w:line="375" w:lineRule="atLeast"/>
        <w:ind w:firstLine="480"/>
        <w:jc w:val="left"/>
        <w:rPr>
          <w:rFonts w:ascii="宋体" w:hAnsi="宋体" w:cs="宋体"/>
          <w:color w:val="000000" w:themeColor="text1"/>
          <w:kern w:val="0"/>
          <w:sz w:val="24"/>
        </w:rPr>
      </w:pPr>
    </w:p>
    <w:p w:rsidR="00437AE8" w:rsidRPr="00DB7C74" w:rsidRDefault="00437AE8" w:rsidP="00437AE8">
      <w:pPr>
        <w:widowControl/>
        <w:spacing w:line="375" w:lineRule="atLeast"/>
        <w:ind w:firstLine="480"/>
        <w:jc w:val="left"/>
        <w:rPr>
          <w:rFonts w:ascii="宋体" w:hAnsi="宋体" w:cs="宋体"/>
          <w:color w:val="000000" w:themeColor="text1"/>
          <w:kern w:val="0"/>
          <w:sz w:val="24"/>
        </w:rPr>
      </w:pPr>
    </w:p>
    <w:p w:rsidR="00437AE8" w:rsidRPr="00DB7C74" w:rsidRDefault="00437AE8" w:rsidP="00437AE8">
      <w:pPr>
        <w:widowControl/>
        <w:spacing w:line="375" w:lineRule="atLeast"/>
        <w:ind w:firstLine="480"/>
        <w:jc w:val="left"/>
        <w:rPr>
          <w:rFonts w:ascii="宋体" w:hAnsi="宋体" w:cs="宋体"/>
          <w:color w:val="000000" w:themeColor="text1"/>
          <w:kern w:val="0"/>
          <w:sz w:val="24"/>
        </w:rPr>
      </w:pPr>
    </w:p>
    <w:p w:rsidR="00AD5DDF" w:rsidRPr="00DB7C74" w:rsidRDefault="00AD5DDF" w:rsidP="00AD5DDF">
      <w:pPr>
        <w:widowControl/>
        <w:spacing w:line="375" w:lineRule="atLeast"/>
        <w:jc w:val="right"/>
        <w:rPr>
          <w:rFonts w:ascii="宋体" w:hAnsi="宋体" w:cs="宋体"/>
          <w:color w:val="000000" w:themeColor="text1"/>
          <w:kern w:val="0"/>
          <w:sz w:val="24"/>
        </w:rPr>
      </w:pPr>
      <w:r w:rsidRPr="00DB7C74">
        <w:rPr>
          <w:rFonts w:ascii="宋体" w:hAnsi="宋体" w:cs="宋体" w:hint="eastAsia"/>
          <w:color w:val="000000" w:themeColor="text1"/>
          <w:kern w:val="0"/>
          <w:sz w:val="24"/>
        </w:rPr>
        <w:t>北京市财政局</w:t>
      </w:r>
    </w:p>
    <w:p w:rsidR="00AD5DDF" w:rsidRPr="00DB7C74" w:rsidRDefault="00AD5DDF" w:rsidP="00AD5DDF">
      <w:pPr>
        <w:widowControl/>
        <w:spacing w:line="375" w:lineRule="atLeast"/>
        <w:jc w:val="right"/>
        <w:rPr>
          <w:rFonts w:ascii="宋体" w:hAnsi="宋体" w:cs="宋体"/>
          <w:color w:val="000000" w:themeColor="text1"/>
          <w:kern w:val="0"/>
          <w:sz w:val="24"/>
        </w:rPr>
      </w:pPr>
      <w:r w:rsidRPr="00DB7C74">
        <w:rPr>
          <w:rFonts w:ascii="宋体" w:hAnsi="宋体" w:cs="宋体" w:hint="eastAsia"/>
          <w:color w:val="000000" w:themeColor="text1"/>
          <w:kern w:val="0"/>
          <w:sz w:val="24"/>
        </w:rPr>
        <w:t>北京市新闻出版广电局</w:t>
      </w:r>
    </w:p>
    <w:p w:rsidR="00AD5DDF" w:rsidRPr="00DB7C74" w:rsidRDefault="00AD5DDF" w:rsidP="00AD5DDF">
      <w:pPr>
        <w:widowControl/>
        <w:spacing w:line="375" w:lineRule="atLeast"/>
        <w:jc w:val="right"/>
        <w:rPr>
          <w:rFonts w:ascii="宋体" w:hAnsi="宋体" w:cs="宋体"/>
          <w:color w:val="000000" w:themeColor="text1"/>
          <w:kern w:val="0"/>
          <w:sz w:val="24"/>
        </w:rPr>
      </w:pPr>
      <w:r w:rsidRPr="00DB7C74">
        <w:rPr>
          <w:rFonts w:ascii="宋体" w:hAnsi="宋体" w:cs="宋体" w:hint="eastAsia"/>
          <w:color w:val="000000" w:themeColor="text1"/>
          <w:kern w:val="0"/>
          <w:sz w:val="24"/>
        </w:rPr>
        <w:t>北京市地方税务局</w:t>
      </w:r>
    </w:p>
    <w:p w:rsidR="00AD5DDF" w:rsidRPr="00DB7C74" w:rsidRDefault="00AD5DDF" w:rsidP="00AD5DDF">
      <w:pPr>
        <w:widowControl/>
        <w:spacing w:line="375" w:lineRule="atLeast"/>
        <w:jc w:val="right"/>
        <w:rPr>
          <w:rFonts w:ascii="宋体" w:hAnsi="宋体" w:cs="宋体"/>
          <w:color w:val="000000" w:themeColor="text1"/>
          <w:kern w:val="0"/>
          <w:sz w:val="24"/>
        </w:rPr>
      </w:pPr>
      <w:r w:rsidRPr="00DB7C74">
        <w:rPr>
          <w:rFonts w:ascii="宋体" w:hAnsi="宋体" w:cs="宋体" w:hint="eastAsia"/>
          <w:color w:val="000000" w:themeColor="text1"/>
          <w:kern w:val="0"/>
          <w:sz w:val="24"/>
        </w:rPr>
        <w:t>2017年9月5日</w:t>
      </w:r>
    </w:p>
    <w:p w:rsidR="00AD5DDF" w:rsidRPr="00DB7C74" w:rsidRDefault="00AD5DDF" w:rsidP="00AD5DDF">
      <w:pPr>
        <w:widowControl/>
        <w:jc w:val="left"/>
        <w:rPr>
          <w:rFonts w:ascii="宋体" w:hAnsi="宋体" w:cs="宋体"/>
          <w:color w:val="000000" w:themeColor="text1"/>
          <w:kern w:val="0"/>
          <w:sz w:val="24"/>
        </w:rPr>
      </w:pPr>
      <w:r w:rsidRPr="00DB7C74">
        <w:rPr>
          <w:rFonts w:ascii="宋体" w:hAnsi="宋体" w:cs="宋体"/>
          <w:color w:val="000000" w:themeColor="text1"/>
          <w:kern w:val="0"/>
          <w:sz w:val="24"/>
        </w:rPr>
        <w:fldChar w:fldCharType="begin"/>
      </w:r>
      <w:r w:rsidRPr="00DB7C74">
        <w:rPr>
          <w:rFonts w:ascii="宋体" w:hAnsi="宋体" w:cs="宋体"/>
          <w:color w:val="000000" w:themeColor="text1"/>
          <w:kern w:val="0"/>
          <w:sz w:val="24"/>
        </w:rPr>
        <w:instrText xml:space="preserve"> HYPERLINK "http://zhengce.beijing.gov.cn/library/192/33/50/438650/1282131/127191.doc" </w:instrText>
      </w:r>
      <w:r w:rsidRPr="00DB7C74">
        <w:rPr>
          <w:rFonts w:ascii="宋体" w:hAnsi="宋体" w:cs="宋体"/>
          <w:color w:val="000000" w:themeColor="text1"/>
          <w:kern w:val="0"/>
          <w:sz w:val="24"/>
        </w:rPr>
        <w:fldChar w:fldCharType="separate"/>
      </w:r>
    </w:p>
    <w:p w:rsidR="00AD5DDF" w:rsidRPr="00DB7C74" w:rsidRDefault="00AD5DDF" w:rsidP="00AD5DDF">
      <w:pPr>
        <w:widowControl/>
        <w:spacing w:line="375" w:lineRule="atLeast"/>
        <w:jc w:val="left"/>
        <w:rPr>
          <w:rFonts w:ascii="宋体" w:hAnsi="宋体" w:cs="宋体"/>
          <w:color w:val="000000" w:themeColor="text1"/>
          <w:kern w:val="0"/>
          <w:sz w:val="24"/>
        </w:rPr>
      </w:pPr>
      <w:r w:rsidRPr="00DB7C74">
        <w:rPr>
          <w:rFonts w:ascii="宋体" w:hAnsi="宋体" w:cs="宋体" w:hint="eastAsia"/>
          <w:color w:val="000000" w:themeColor="text1"/>
          <w:kern w:val="0"/>
          <w:sz w:val="24"/>
        </w:rPr>
        <w:t>附件：国家电影事业发展专项资金代收地点汇总表</w:t>
      </w:r>
    </w:p>
    <w:p w:rsidR="00AD5DDF" w:rsidRPr="00DB7C74" w:rsidRDefault="00AD5DDF" w:rsidP="00AD5DDF">
      <w:pPr>
        <w:widowControl/>
        <w:jc w:val="left"/>
        <w:rPr>
          <w:rFonts w:ascii="宋体" w:hAnsi="宋体" w:cs="宋体"/>
          <w:color w:val="000000" w:themeColor="text1"/>
          <w:kern w:val="0"/>
          <w:szCs w:val="21"/>
        </w:rPr>
      </w:pPr>
      <w:r w:rsidRPr="00DB7C74">
        <w:rPr>
          <w:rFonts w:ascii="宋体" w:hAnsi="宋体" w:cs="宋体"/>
          <w:color w:val="000000" w:themeColor="text1"/>
          <w:kern w:val="0"/>
          <w:sz w:val="24"/>
        </w:rPr>
        <w:fldChar w:fldCharType="end"/>
      </w:r>
    </w:p>
    <w:p w:rsidR="006F4D8A" w:rsidRPr="00DB7C74" w:rsidRDefault="006F4D8A" w:rsidP="006F4D8A">
      <w:pPr>
        <w:widowControl/>
        <w:jc w:val="left"/>
        <w:rPr>
          <w:rFonts w:ascii="黑体" w:eastAsia="黑体"/>
          <w:color w:val="000000" w:themeColor="text1"/>
          <w:sz w:val="32"/>
        </w:rPr>
      </w:pPr>
    </w:p>
    <w:p w:rsidR="00437AE8" w:rsidRPr="00DB7C74" w:rsidRDefault="00437AE8" w:rsidP="006F4D8A">
      <w:pPr>
        <w:widowControl/>
        <w:jc w:val="left"/>
        <w:rPr>
          <w:rFonts w:ascii="黑体" w:eastAsia="黑体"/>
          <w:color w:val="000000" w:themeColor="text1"/>
          <w:sz w:val="32"/>
        </w:rPr>
      </w:pPr>
    </w:p>
    <w:p w:rsidR="005F1342" w:rsidRPr="00DB7C74" w:rsidRDefault="005F1342" w:rsidP="006F4D8A">
      <w:pPr>
        <w:widowControl/>
        <w:jc w:val="left"/>
        <w:rPr>
          <w:rFonts w:ascii="黑体" w:eastAsia="黑体"/>
          <w:color w:val="000000" w:themeColor="text1"/>
          <w:sz w:val="32"/>
        </w:rPr>
      </w:pPr>
    </w:p>
    <w:bookmarkEnd w:id="0"/>
    <w:p w:rsidR="006F4D8A" w:rsidRPr="003E5550" w:rsidRDefault="006F4D8A" w:rsidP="006F4D8A">
      <w:pPr>
        <w:widowControl/>
        <w:jc w:val="left"/>
        <w:rPr>
          <w:rFonts w:ascii="黑体" w:eastAsia="黑体" w:hAnsi="宋体" w:cs="宋体"/>
          <w:kern w:val="0"/>
          <w:sz w:val="32"/>
          <w:szCs w:val="32"/>
        </w:rPr>
      </w:pPr>
      <w:r w:rsidRPr="003E5550">
        <w:rPr>
          <w:rFonts w:ascii="黑体" w:eastAsia="黑体" w:hint="eastAsia"/>
          <w:sz w:val="32"/>
        </w:rPr>
        <w:lastRenderedPageBreak/>
        <w:t>京财</w:t>
      </w:r>
      <w:bookmarkStart w:id="1" w:name="zi"/>
      <w:r w:rsidRPr="003E5550">
        <w:rPr>
          <w:rFonts w:ascii="黑体" w:eastAsia="黑体" w:hint="eastAsia"/>
          <w:sz w:val="32"/>
        </w:rPr>
        <w:t>综</w:t>
      </w:r>
      <w:bookmarkEnd w:id="1"/>
      <w:r w:rsidRPr="003E5550">
        <w:rPr>
          <w:rFonts w:ascii="黑体" w:eastAsia="黑体" w:hint="eastAsia"/>
          <w:sz w:val="32"/>
        </w:rPr>
        <w:t>〔</w:t>
      </w:r>
      <w:bookmarkStart w:id="2" w:name="nian"/>
      <w:r w:rsidRPr="003E5550">
        <w:rPr>
          <w:rFonts w:ascii="黑体" w:eastAsia="黑体" w:hint="eastAsia"/>
          <w:sz w:val="32"/>
        </w:rPr>
        <w:t>2017</w:t>
      </w:r>
      <w:bookmarkEnd w:id="2"/>
      <w:r w:rsidRPr="003E5550">
        <w:rPr>
          <w:rFonts w:ascii="黑体" w:eastAsia="黑体" w:hint="eastAsia"/>
          <w:sz w:val="32"/>
        </w:rPr>
        <w:t>〕</w:t>
      </w:r>
      <w:bookmarkStart w:id="3" w:name="yibanfawen_hao"/>
      <w:r w:rsidRPr="003E5550">
        <w:rPr>
          <w:rFonts w:ascii="黑体" w:eastAsia="黑体" w:hint="eastAsia"/>
          <w:sz w:val="32"/>
        </w:rPr>
        <w:t>1902</w:t>
      </w:r>
      <w:bookmarkEnd w:id="3"/>
      <w:r w:rsidRPr="003E5550">
        <w:rPr>
          <w:rFonts w:ascii="黑体" w:eastAsia="黑体" w:hint="eastAsia"/>
          <w:sz w:val="32"/>
        </w:rPr>
        <w:t>号</w:t>
      </w:r>
      <w:r w:rsidRPr="003E5550">
        <w:rPr>
          <w:rFonts w:ascii="黑体" w:eastAsia="黑体" w:hAnsi="宋体" w:cs="宋体" w:hint="eastAsia"/>
          <w:kern w:val="0"/>
          <w:sz w:val="32"/>
          <w:szCs w:val="32"/>
        </w:rPr>
        <w:t>附件</w:t>
      </w:r>
    </w:p>
    <w:tbl>
      <w:tblPr>
        <w:tblW w:w="8469" w:type="dxa"/>
        <w:jc w:val="center"/>
        <w:tblLook w:val="04A0" w:firstRow="1" w:lastRow="0" w:firstColumn="1" w:lastColumn="0" w:noHBand="0" w:noVBand="1"/>
      </w:tblPr>
      <w:tblGrid>
        <w:gridCol w:w="649"/>
        <w:gridCol w:w="1985"/>
        <w:gridCol w:w="5835"/>
      </w:tblGrid>
      <w:tr w:rsidR="006F4D8A" w:rsidTr="00115349">
        <w:trPr>
          <w:trHeight w:val="720"/>
          <w:jc w:val="center"/>
        </w:trPr>
        <w:tc>
          <w:tcPr>
            <w:tcW w:w="8469" w:type="dxa"/>
            <w:gridSpan w:val="3"/>
            <w:tcBorders>
              <w:top w:val="nil"/>
              <w:left w:val="nil"/>
              <w:bottom w:val="single" w:sz="4" w:space="0" w:color="auto"/>
              <w:right w:val="nil"/>
            </w:tcBorders>
            <w:noWrap/>
          </w:tcPr>
          <w:p w:rsidR="006F4D8A" w:rsidRDefault="006F4D8A" w:rsidP="00115349">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国家电影事业发展专项资金代收地点汇总表</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b/>
                <w:bCs/>
                <w:color w:val="000000"/>
                <w:kern w:val="0"/>
                <w:sz w:val="24"/>
              </w:rPr>
            </w:pPr>
            <w:r>
              <w:rPr>
                <w:rFonts w:ascii="宋体" w:hAnsi="宋体" w:cs="宋体" w:hint="eastAsia"/>
                <w:b/>
                <w:bCs/>
                <w:color w:val="000000"/>
                <w:kern w:val="0"/>
                <w:sz w:val="24"/>
              </w:rPr>
              <w:t>序 号</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b/>
                <w:bCs/>
                <w:color w:val="000000"/>
                <w:kern w:val="0"/>
                <w:sz w:val="24"/>
              </w:rPr>
            </w:pPr>
            <w:r>
              <w:rPr>
                <w:rFonts w:ascii="宋体" w:hAnsi="宋体" w:cs="宋体" w:hint="eastAsia"/>
                <w:b/>
                <w:bCs/>
                <w:color w:val="000000"/>
                <w:kern w:val="0"/>
                <w:sz w:val="24"/>
              </w:rPr>
              <w:t>区局名称</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b/>
                <w:bCs/>
                <w:color w:val="000000"/>
                <w:kern w:val="0"/>
                <w:sz w:val="24"/>
              </w:rPr>
            </w:pPr>
            <w:r>
              <w:rPr>
                <w:rFonts w:ascii="宋体" w:hAnsi="宋体" w:cs="宋体" w:hint="eastAsia"/>
                <w:b/>
                <w:bCs/>
                <w:color w:val="000000"/>
                <w:kern w:val="0"/>
                <w:sz w:val="24"/>
              </w:rPr>
              <w:t>代  收  地  点</w:t>
            </w:r>
          </w:p>
        </w:tc>
      </w:tr>
      <w:tr w:rsidR="006F4D8A" w:rsidTr="00115349">
        <w:trPr>
          <w:trHeight w:val="420"/>
          <w:jc w:val="center"/>
        </w:trPr>
        <w:tc>
          <w:tcPr>
            <w:tcW w:w="649" w:type="dxa"/>
            <w:tcBorders>
              <w:top w:val="nil"/>
              <w:left w:val="single" w:sz="4" w:space="0" w:color="auto"/>
              <w:bottom w:val="nil"/>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985" w:type="dxa"/>
            <w:tcBorders>
              <w:top w:val="nil"/>
              <w:left w:val="nil"/>
              <w:bottom w:val="nil"/>
              <w:right w:val="single" w:sz="4" w:space="0" w:color="auto"/>
            </w:tcBorders>
            <w:vAlign w:val="center"/>
          </w:tcPr>
          <w:p w:rsidR="006F4D8A" w:rsidRDefault="006F4D8A" w:rsidP="00115349">
            <w:pPr>
              <w:widowControl/>
              <w:rPr>
                <w:rFonts w:ascii="宋体" w:hAnsi="宋体" w:cs="宋体"/>
                <w:color w:val="000000"/>
                <w:kern w:val="0"/>
                <w:sz w:val="24"/>
              </w:rPr>
            </w:pPr>
            <w:r>
              <w:rPr>
                <w:rFonts w:ascii="宋体" w:hAnsi="宋体" w:cs="宋体" w:hint="eastAsia"/>
                <w:color w:val="000000"/>
                <w:kern w:val="0"/>
                <w:sz w:val="24"/>
              </w:rPr>
              <w:t xml:space="preserve"> 东城区地税局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第三税务所（东城区珠市口东大街14号一层）</w:t>
            </w:r>
          </w:p>
        </w:tc>
      </w:tr>
      <w:tr w:rsidR="006F4D8A" w:rsidTr="00115349">
        <w:trPr>
          <w:trHeight w:val="420"/>
          <w:jc w:val="center"/>
        </w:trPr>
        <w:tc>
          <w:tcPr>
            <w:tcW w:w="649" w:type="dxa"/>
            <w:tcBorders>
              <w:top w:val="single" w:sz="4" w:space="0" w:color="auto"/>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985" w:type="dxa"/>
            <w:tcBorders>
              <w:top w:val="single" w:sz="4" w:space="0" w:color="auto"/>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西城区地税局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第三税务所（西城区德泉胡同10号 ）</w:t>
            </w:r>
          </w:p>
        </w:tc>
      </w:tr>
      <w:tr w:rsidR="006F4D8A" w:rsidTr="00115349">
        <w:trPr>
          <w:trHeight w:val="420"/>
          <w:jc w:val="center"/>
        </w:trPr>
        <w:tc>
          <w:tcPr>
            <w:tcW w:w="649" w:type="dxa"/>
            <w:vMerge w:val="restart"/>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985" w:type="dxa"/>
            <w:vMerge w:val="restart"/>
            <w:tcBorders>
              <w:top w:val="nil"/>
              <w:left w:val="single" w:sz="4" w:space="0" w:color="auto"/>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朝阳区地市局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第三税务所（朝阳区来广营红军营南路甲3号 ）</w:t>
            </w:r>
          </w:p>
        </w:tc>
      </w:tr>
      <w:tr w:rsidR="006F4D8A" w:rsidTr="00115349">
        <w:trPr>
          <w:trHeight w:val="420"/>
          <w:jc w:val="center"/>
        </w:trPr>
        <w:tc>
          <w:tcPr>
            <w:tcW w:w="649"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第七税务所（朝阳区广渠东路40号）</w:t>
            </w:r>
          </w:p>
        </w:tc>
      </w:tr>
      <w:tr w:rsidR="006F4D8A" w:rsidTr="00115349">
        <w:trPr>
          <w:trHeight w:val="420"/>
          <w:jc w:val="center"/>
        </w:trPr>
        <w:tc>
          <w:tcPr>
            <w:tcW w:w="649"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第八税务所（朝阳区太阳宫中路甲6号临一号）</w:t>
            </w:r>
          </w:p>
        </w:tc>
      </w:tr>
      <w:tr w:rsidR="006F4D8A" w:rsidTr="00115349">
        <w:trPr>
          <w:trHeight w:val="420"/>
          <w:jc w:val="center"/>
        </w:trPr>
        <w:tc>
          <w:tcPr>
            <w:tcW w:w="649"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第九税务所（朝阳区定福庄路9号）</w:t>
            </w:r>
          </w:p>
        </w:tc>
      </w:tr>
      <w:tr w:rsidR="006F4D8A" w:rsidTr="00115349">
        <w:trPr>
          <w:trHeight w:val="420"/>
          <w:jc w:val="center"/>
        </w:trPr>
        <w:tc>
          <w:tcPr>
            <w:tcW w:w="649" w:type="dxa"/>
            <w:vMerge w:val="restart"/>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985" w:type="dxa"/>
            <w:vMerge w:val="restart"/>
            <w:tcBorders>
              <w:top w:val="nil"/>
              <w:left w:val="single" w:sz="4" w:space="0" w:color="auto"/>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海淀区地税局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第四税务所（海淀区阜外亮甲店1号恩济西园10号楼）</w:t>
            </w:r>
          </w:p>
        </w:tc>
      </w:tr>
      <w:tr w:rsidR="006F4D8A" w:rsidTr="00115349">
        <w:trPr>
          <w:trHeight w:val="420"/>
          <w:jc w:val="center"/>
        </w:trPr>
        <w:tc>
          <w:tcPr>
            <w:tcW w:w="649"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第六税务所（海淀区丰智东路7号）</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丰台区地税局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第一税务所（丰台区纪通东路78号,纪家庙社区服务中心西侧）</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石景山区地税局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第一税务所(石景山区杨庄东街51号)</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门头沟区地税局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第一税务所（门头沟区石龙工业区龙园路5号）</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昌平区地税局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第三税务所（昌平区凉水河路6号院区）</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通州区地税局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第一税务所（通州区玉桥中路136号）</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顺义区地税局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第一税务所（顺义区新顺南大街39号）</w:t>
            </w:r>
          </w:p>
        </w:tc>
      </w:tr>
      <w:tr w:rsidR="006F4D8A" w:rsidTr="00115349">
        <w:trPr>
          <w:trHeight w:val="84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大兴区地税局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第一税务所服务窗口（大兴区金星路18号院3号楼，大兴区工商税务分中心）</w:t>
            </w:r>
          </w:p>
        </w:tc>
      </w:tr>
      <w:tr w:rsidR="006F4D8A" w:rsidTr="00115349">
        <w:trPr>
          <w:trHeight w:val="84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房山区地税局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房山区综合行政服务中心地税服务窗口（房山区长阳镇昊天北大街38号，长阳CSD广场综合服务中心）</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怀柔区地税局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第一税务所（怀柔区开放路33号一层）</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密云区地税局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第一税务所（密云区鼓楼东大街7号）</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平谷区地税局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第二税务所（平谷区林荫北街13号信息大厦1层）</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16</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延庆区地税局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第一税务所（延庆区庆园街1号）</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17</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北京地税</w:t>
            </w:r>
          </w:p>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燕山分局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税源所（房山区燕山岗南路东一巷8号B205室）</w:t>
            </w:r>
          </w:p>
        </w:tc>
      </w:tr>
      <w:tr w:rsidR="006F4D8A" w:rsidTr="00115349">
        <w:trPr>
          <w:trHeight w:val="420"/>
          <w:jc w:val="center"/>
        </w:trPr>
        <w:tc>
          <w:tcPr>
            <w:tcW w:w="649" w:type="dxa"/>
            <w:tcBorders>
              <w:top w:val="nil"/>
              <w:left w:val="single" w:sz="4" w:space="0" w:color="auto"/>
              <w:bottom w:val="single" w:sz="4" w:space="0" w:color="auto"/>
              <w:right w:val="single" w:sz="4" w:space="0" w:color="auto"/>
            </w:tcBorders>
            <w:noWrap/>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18</w:t>
            </w:r>
          </w:p>
        </w:tc>
        <w:tc>
          <w:tcPr>
            <w:tcW w:w="1985" w:type="dxa"/>
            <w:tcBorders>
              <w:top w:val="nil"/>
              <w:left w:val="nil"/>
              <w:bottom w:val="single" w:sz="4" w:space="0" w:color="auto"/>
              <w:right w:val="single" w:sz="4" w:space="0" w:color="auto"/>
            </w:tcBorders>
            <w:vAlign w:val="center"/>
          </w:tcPr>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北京地税</w:t>
            </w:r>
          </w:p>
          <w:p w:rsidR="006F4D8A" w:rsidRDefault="006F4D8A" w:rsidP="00115349">
            <w:pPr>
              <w:widowControl/>
              <w:jc w:val="center"/>
              <w:rPr>
                <w:rFonts w:ascii="宋体" w:hAnsi="宋体" w:cs="宋体"/>
                <w:color w:val="000000"/>
                <w:kern w:val="0"/>
                <w:sz w:val="24"/>
              </w:rPr>
            </w:pPr>
            <w:r>
              <w:rPr>
                <w:rFonts w:ascii="宋体" w:hAnsi="宋体" w:cs="宋体" w:hint="eastAsia"/>
                <w:color w:val="000000"/>
                <w:kern w:val="0"/>
                <w:sz w:val="24"/>
              </w:rPr>
              <w:t>开发区分局</w:t>
            </w:r>
          </w:p>
        </w:tc>
        <w:tc>
          <w:tcPr>
            <w:tcW w:w="5835" w:type="dxa"/>
            <w:tcBorders>
              <w:top w:val="nil"/>
              <w:left w:val="nil"/>
              <w:bottom w:val="single" w:sz="4" w:space="0" w:color="auto"/>
              <w:right w:val="single" w:sz="4" w:space="0" w:color="auto"/>
            </w:tcBorders>
            <w:vAlign w:val="center"/>
          </w:tcPr>
          <w:p w:rsidR="006F4D8A" w:rsidRDefault="006F4D8A" w:rsidP="00115349">
            <w:pPr>
              <w:widowControl/>
              <w:jc w:val="left"/>
              <w:rPr>
                <w:rFonts w:ascii="宋体" w:hAnsi="宋体" w:cs="宋体"/>
                <w:color w:val="000000"/>
                <w:kern w:val="0"/>
                <w:sz w:val="24"/>
              </w:rPr>
            </w:pPr>
            <w:r>
              <w:rPr>
                <w:rFonts w:ascii="宋体" w:hAnsi="宋体" w:cs="宋体" w:hint="eastAsia"/>
                <w:color w:val="000000"/>
                <w:kern w:val="0"/>
                <w:sz w:val="24"/>
              </w:rPr>
              <w:t>第一税务所（开发区荣华中路亦城财富中心B座3层）</w:t>
            </w:r>
          </w:p>
        </w:tc>
      </w:tr>
    </w:tbl>
    <w:p w:rsidR="003C5493" w:rsidRPr="006F4D8A" w:rsidRDefault="003C5493"/>
    <w:sectPr w:rsidR="003C5493" w:rsidRPr="006F4D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6E" w:rsidRDefault="0067706E" w:rsidP="006F4D8A">
      <w:r>
        <w:separator/>
      </w:r>
    </w:p>
  </w:endnote>
  <w:endnote w:type="continuationSeparator" w:id="0">
    <w:p w:rsidR="0067706E" w:rsidRDefault="0067706E" w:rsidP="006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6E" w:rsidRDefault="0067706E" w:rsidP="006F4D8A">
      <w:r>
        <w:separator/>
      </w:r>
    </w:p>
  </w:footnote>
  <w:footnote w:type="continuationSeparator" w:id="0">
    <w:p w:rsidR="0067706E" w:rsidRDefault="0067706E" w:rsidP="006F4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7F"/>
    <w:rsid w:val="000E72BB"/>
    <w:rsid w:val="00342CB5"/>
    <w:rsid w:val="00363F86"/>
    <w:rsid w:val="003C5493"/>
    <w:rsid w:val="00437AE8"/>
    <w:rsid w:val="004B65FE"/>
    <w:rsid w:val="0050577F"/>
    <w:rsid w:val="005B5BBE"/>
    <w:rsid w:val="005F1342"/>
    <w:rsid w:val="00671FEA"/>
    <w:rsid w:val="0067706E"/>
    <w:rsid w:val="006F4D8A"/>
    <w:rsid w:val="00716D48"/>
    <w:rsid w:val="009C2C73"/>
    <w:rsid w:val="00AD5DDF"/>
    <w:rsid w:val="00B706C8"/>
    <w:rsid w:val="00D50E04"/>
    <w:rsid w:val="00DB7C74"/>
    <w:rsid w:val="00DD7506"/>
    <w:rsid w:val="00E930E9"/>
    <w:rsid w:val="00FF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D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4D8A"/>
    <w:rPr>
      <w:sz w:val="18"/>
      <w:szCs w:val="18"/>
    </w:rPr>
  </w:style>
  <w:style w:type="paragraph" w:styleId="a4">
    <w:name w:val="footer"/>
    <w:basedOn w:val="a"/>
    <w:link w:val="Char0"/>
    <w:uiPriority w:val="99"/>
    <w:unhideWhenUsed/>
    <w:rsid w:val="006F4D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4D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D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4D8A"/>
    <w:rPr>
      <w:sz w:val="18"/>
      <w:szCs w:val="18"/>
    </w:rPr>
  </w:style>
  <w:style w:type="paragraph" w:styleId="a4">
    <w:name w:val="footer"/>
    <w:basedOn w:val="a"/>
    <w:link w:val="Char0"/>
    <w:uiPriority w:val="99"/>
    <w:unhideWhenUsed/>
    <w:rsid w:val="006F4D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4D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5774">
      <w:bodyDiv w:val="1"/>
      <w:marLeft w:val="0"/>
      <w:marRight w:val="0"/>
      <w:marTop w:val="0"/>
      <w:marBottom w:val="0"/>
      <w:divBdr>
        <w:top w:val="none" w:sz="0" w:space="0" w:color="auto"/>
        <w:left w:val="none" w:sz="0" w:space="0" w:color="auto"/>
        <w:bottom w:val="none" w:sz="0" w:space="0" w:color="auto"/>
        <w:right w:val="none" w:sz="0" w:space="0" w:color="auto"/>
      </w:divBdr>
      <w:divsChild>
        <w:div w:id="87704250">
          <w:marLeft w:val="0"/>
          <w:marRight w:val="0"/>
          <w:marTop w:val="100"/>
          <w:marBottom w:val="100"/>
          <w:divBdr>
            <w:top w:val="none" w:sz="0" w:space="0" w:color="auto"/>
            <w:left w:val="none" w:sz="0" w:space="0" w:color="auto"/>
            <w:bottom w:val="none" w:sz="0" w:space="0" w:color="auto"/>
            <w:right w:val="none" w:sz="0" w:space="0" w:color="auto"/>
          </w:divBdr>
          <w:divsChild>
            <w:div w:id="19110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1312">
      <w:bodyDiv w:val="1"/>
      <w:marLeft w:val="0"/>
      <w:marRight w:val="0"/>
      <w:marTop w:val="0"/>
      <w:marBottom w:val="0"/>
      <w:divBdr>
        <w:top w:val="none" w:sz="0" w:space="0" w:color="auto"/>
        <w:left w:val="none" w:sz="0" w:space="0" w:color="auto"/>
        <w:bottom w:val="none" w:sz="0" w:space="0" w:color="auto"/>
        <w:right w:val="none" w:sz="0" w:space="0" w:color="auto"/>
      </w:divBdr>
      <w:divsChild>
        <w:div w:id="54472541">
          <w:marLeft w:val="0"/>
          <w:marRight w:val="0"/>
          <w:marTop w:val="100"/>
          <w:marBottom w:val="100"/>
          <w:divBdr>
            <w:top w:val="none" w:sz="0" w:space="0" w:color="auto"/>
            <w:left w:val="none" w:sz="0" w:space="0" w:color="auto"/>
            <w:bottom w:val="none" w:sz="0" w:space="0" w:color="auto"/>
            <w:right w:val="none" w:sz="0" w:space="0" w:color="auto"/>
          </w:divBdr>
          <w:divsChild>
            <w:div w:id="1851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adm</cp:lastModifiedBy>
  <cp:revision>19</cp:revision>
  <cp:lastPrinted>2018-02-07T11:40:00Z</cp:lastPrinted>
  <dcterms:created xsi:type="dcterms:W3CDTF">2018-02-07T06:56:00Z</dcterms:created>
  <dcterms:modified xsi:type="dcterms:W3CDTF">2018-02-07T11:44:00Z</dcterms:modified>
</cp:coreProperties>
</file>